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83913" w14:textId="77777777" w:rsidR="00572A86" w:rsidRDefault="007944B8">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00000A"/>
        </w:rPr>
      </w:pPr>
      <w:r>
        <w:rPr>
          <w:rFonts w:ascii="Calibri" w:eastAsia="Calibri" w:hAnsi="Calibri" w:cs="Calibri"/>
          <w:b/>
          <w:color w:val="00000A"/>
        </w:rPr>
        <w:t>SPECYFIKACJA TECHNICZNA WYKONANIA I ODBIORU ROBÓT</w:t>
      </w:r>
    </w:p>
    <w:p w14:paraId="51A27D9F" w14:textId="77777777" w:rsidR="00572A86" w:rsidRDefault="007944B8">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808080"/>
        </w:rPr>
      </w:pPr>
      <w:r>
        <w:rPr>
          <w:rFonts w:ascii="Calibri" w:eastAsia="Calibri" w:hAnsi="Calibri" w:cs="Calibri"/>
          <w:b/>
          <w:color w:val="00000A"/>
        </w:rPr>
        <w:t>BUDOWLANYCH</w:t>
      </w:r>
    </w:p>
    <w:p w14:paraId="61BA1001"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3A04EF00"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6A519768" w14:textId="77777777" w:rsidR="00572A86" w:rsidRDefault="007944B8">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TOM V</w:t>
      </w:r>
    </w:p>
    <w:p w14:paraId="572A6AC3" w14:textId="77777777" w:rsidR="00572A86" w:rsidRDefault="007944B8">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Roboty drogowe i rozbiórkowe</w:t>
      </w:r>
    </w:p>
    <w:p w14:paraId="114EAFF5"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12C0F9D0"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103C4FB2"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74CA1CCD" w14:textId="77777777" w:rsidR="00572A86" w:rsidRDefault="007944B8">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8BFED12" w14:textId="77777777" w:rsidR="00572A86" w:rsidRDefault="00572A86">
      <w:pPr>
        <w:spacing w:line="276" w:lineRule="auto"/>
        <w:ind w:left="0" w:hanging="2"/>
        <w:rPr>
          <w:rFonts w:ascii="Calibri" w:eastAsia="Calibri" w:hAnsi="Calibri" w:cs="Calibri"/>
          <w:shd w:val="clear" w:color="auto" w:fill="FF9900"/>
        </w:rPr>
      </w:pPr>
    </w:p>
    <w:p w14:paraId="45F6841C" w14:textId="7CE721B5" w:rsidR="00572A86" w:rsidRDefault="00305DD6">
      <w:pPr>
        <w:spacing w:line="276" w:lineRule="auto"/>
        <w:ind w:left="0" w:hanging="2"/>
        <w:jc w:val="both"/>
        <w:rPr>
          <w:rFonts w:ascii="Calibri" w:eastAsia="Calibri" w:hAnsi="Calibri" w:cs="Calibri"/>
          <w:b/>
          <w:sz w:val="22"/>
          <w:szCs w:val="22"/>
        </w:rPr>
      </w:pPr>
      <w:sdt>
        <w:sdtPr>
          <w:rPr>
            <w:rFonts w:ascii="Calibri" w:eastAsia="Calibri" w:hAnsi="Calibri" w:cs="Calibri"/>
            <w:b/>
          </w:rPr>
          <w:tag w:val="goog_rdk_0"/>
          <w:id w:val="1677463232"/>
        </w:sdtPr>
        <w:sdtContent>
          <w:r w:rsidRPr="00D62A56">
            <w:rPr>
              <w:rFonts w:ascii="Calibri" w:eastAsia="Calibri" w:hAnsi="Calibri" w:cs="Calibri"/>
              <w:b/>
            </w:rPr>
            <w:t>Przebudowa i budowa osiedlowej sieci ciepłowniczej pomiędzy komorami O23A/L2A i O23A/L3 wraz z fragmentem osiedlowej sieci ciepłowniczej 2xDN100 i przyłączem ciepłowniczym do budynku szkoły przy ul. Piaseczyńskiej 114/116</w:t>
          </w:r>
        </w:sdtContent>
      </w:sdt>
      <w:r>
        <w:rPr>
          <w:rFonts w:ascii="Calibri" w:eastAsia="Calibri" w:hAnsi="Calibri" w:cs="Calibri"/>
          <w:b/>
        </w:rPr>
        <w:t xml:space="preserve"> </w:t>
      </w:r>
      <w:r w:rsidR="007944B8" w:rsidRPr="00945313">
        <w:rPr>
          <w:rFonts w:ascii="Calibri" w:eastAsia="Calibri" w:hAnsi="Calibri" w:cs="Calibri"/>
          <w:b/>
        </w:rPr>
        <w:t xml:space="preserve">polegająca na wykonaniu robót budowlanych, zgodnie z załączoną do części III SWZ dokumentacją projektową </w:t>
      </w:r>
      <w:r w:rsidR="00945313">
        <w:rPr>
          <w:rFonts w:ascii="Calibri" w:eastAsia="Calibri" w:hAnsi="Calibri" w:cs="Calibri"/>
          <w:b/>
        </w:rPr>
        <w:br/>
      </w:r>
      <w:r w:rsidR="007944B8" w:rsidRPr="00945313">
        <w:rPr>
          <w:rFonts w:ascii="Calibri" w:eastAsia="Calibri" w:hAnsi="Calibri" w:cs="Calibri"/>
          <w:b/>
        </w:rPr>
        <w:t>i formalnoprawną.</w:t>
      </w:r>
    </w:p>
    <w:p w14:paraId="1D370555" w14:textId="77777777" w:rsidR="00572A86" w:rsidRDefault="00572A86">
      <w:pPr>
        <w:spacing w:line="276" w:lineRule="auto"/>
        <w:ind w:left="0" w:hanging="2"/>
        <w:jc w:val="both"/>
        <w:rPr>
          <w:rFonts w:ascii="Calibri" w:eastAsia="Calibri" w:hAnsi="Calibri" w:cs="Calibri"/>
          <w:b/>
          <w:highlight w:val="lightGray"/>
        </w:rPr>
      </w:pPr>
      <w:bookmarkStart w:id="0" w:name="_heading=h.9y9gll1tsf9p" w:colFirst="0" w:colLast="0"/>
      <w:bookmarkEnd w:id="0"/>
    </w:p>
    <w:p w14:paraId="62D45B94" w14:textId="77777777" w:rsidR="00572A86" w:rsidRDefault="00572A86">
      <w:pPr>
        <w:spacing w:line="276" w:lineRule="auto"/>
        <w:ind w:left="0" w:hanging="2"/>
        <w:jc w:val="center"/>
        <w:rPr>
          <w:rFonts w:ascii="Calibri" w:eastAsia="Calibri" w:hAnsi="Calibri" w:cs="Calibri"/>
          <w:b/>
          <w:sz w:val="22"/>
          <w:szCs w:val="22"/>
        </w:rPr>
      </w:pPr>
    </w:p>
    <w:p w14:paraId="07CA2478" w14:textId="77777777" w:rsidR="00572A86" w:rsidRDefault="007944B8">
      <w:pPr>
        <w:spacing w:line="276" w:lineRule="auto"/>
        <w:ind w:left="1" w:hanging="3"/>
        <w:jc w:val="both"/>
        <w:rPr>
          <w:rFonts w:ascii="Calibri" w:eastAsia="Calibri" w:hAnsi="Calibri" w:cs="Calibri"/>
          <w:sz w:val="22"/>
          <w:szCs w:val="22"/>
          <w:shd w:val="clear" w:color="auto" w:fill="FF9900"/>
        </w:rPr>
      </w:pPr>
      <w:r w:rsidRPr="00945313">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70E5D20D" w14:textId="77777777" w:rsidR="00572A86" w:rsidRDefault="007944B8">
      <w:pPr>
        <w:spacing w:line="276" w:lineRule="auto"/>
        <w:ind w:left="0" w:hanging="2"/>
        <w:rPr>
          <w:rFonts w:ascii="Calibri" w:eastAsia="Calibri" w:hAnsi="Calibri" w:cs="Calibri"/>
          <w:b/>
        </w:rPr>
      </w:pPr>
      <w:r w:rsidRPr="00945313">
        <w:rPr>
          <w:rFonts w:ascii="Calibri" w:eastAsia="Calibri" w:hAnsi="Calibri" w:cs="Calibri"/>
          <w:b/>
          <w:color w:val="222222"/>
        </w:rPr>
        <w:t>Modernizacja systemu ciepłowniczego na terenie m. st. Warszawy w celu poprawy efektywności energetycznej na lata 2025-2029 - Etap I</w:t>
      </w:r>
      <w:r>
        <w:rPr>
          <w:rFonts w:ascii="Calibri" w:eastAsia="Calibri" w:hAnsi="Calibri" w:cs="Calibri"/>
          <w:b/>
          <w:color w:val="222222"/>
          <w:shd w:val="clear" w:color="auto" w:fill="FF9900"/>
        </w:rPr>
        <w:t xml:space="preserve"> </w:t>
      </w:r>
    </w:p>
    <w:p w14:paraId="3BB84159"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26AFBA4A" w14:textId="77777777" w:rsidR="00572A86" w:rsidRDefault="00572A86">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3E8A833F" w14:textId="77777777" w:rsidR="00572A86" w:rsidRDefault="00572A86">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62D9E3F9" w14:textId="77777777" w:rsidR="00572A86" w:rsidRDefault="00572A86">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5C0BAA5C" w14:textId="77777777" w:rsidR="00572A86" w:rsidRDefault="00572A86">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469382A2" w14:textId="77777777" w:rsidR="00572A86" w:rsidRDefault="007944B8">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br w:type="page"/>
      </w:r>
      <w:r>
        <w:rPr>
          <w:rFonts w:ascii="Calibri" w:eastAsia="Calibri" w:hAnsi="Calibri" w:cs="Calibri"/>
          <w:b/>
          <w:color w:val="000000"/>
          <w:sz w:val="22"/>
          <w:szCs w:val="22"/>
        </w:rPr>
        <w:lastRenderedPageBreak/>
        <w:t>Spis treści:</w:t>
      </w:r>
    </w:p>
    <w:p w14:paraId="24075A51" w14:textId="77777777" w:rsidR="00572A86" w:rsidRDefault="00572A86">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p>
    <w:sdt>
      <w:sdtPr>
        <w:id w:val="-1508204390"/>
        <w:docPartObj>
          <w:docPartGallery w:val="Table of Contents"/>
          <w:docPartUnique/>
        </w:docPartObj>
      </w:sdtPr>
      <w:sdtEndPr/>
      <w:sdtContent>
        <w:p w14:paraId="4920AA9E" w14:textId="77777777" w:rsidR="00572A86" w:rsidRDefault="007944B8" w:rsidP="00945313">
          <w:pPr>
            <w:pBdr>
              <w:top w:val="nil"/>
              <w:left w:val="nil"/>
              <w:bottom w:val="nil"/>
              <w:right w:val="nil"/>
              <w:between w:val="nil"/>
            </w:pBdr>
            <w:tabs>
              <w:tab w:val="left" w:pos="0"/>
              <w:tab w:val="left" w:pos="567"/>
              <w:tab w:val="right" w:pos="9356"/>
            </w:tabs>
            <w:spacing w:line="240" w:lineRule="auto"/>
            <w:ind w:left="0"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_heading=h.gjdgxs \h </w:instrText>
          </w:r>
          <w:r>
            <w:fldChar w:fldCharType="separate"/>
          </w:r>
          <w:r>
            <w:rPr>
              <w:rFonts w:ascii="Calibri" w:eastAsia="Calibri" w:hAnsi="Calibri" w:cs="Calibri"/>
              <w:color w:val="000000"/>
              <w:sz w:val="22"/>
              <w:szCs w:val="22"/>
            </w:rPr>
            <w:t>3</w:t>
          </w:r>
          <w:r>
            <w:fldChar w:fldCharType="end"/>
          </w:r>
        </w:p>
        <w:p w14:paraId="053E5D66" w14:textId="77777777" w:rsidR="00572A86" w:rsidRDefault="007944B8" w:rsidP="00945313">
          <w:pPr>
            <w:pBdr>
              <w:top w:val="nil"/>
              <w:left w:val="nil"/>
              <w:bottom w:val="nil"/>
              <w:right w:val="nil"/>
              <w:between w:val="nil"/>
            </w:pBdr>
            <w:tabs>
              <w:tab w:val="left" w:pos="567"/>
              <w:tab w:val="right" w:pos="878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MATERIAŁY</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_heading=h.2s8eyo1 \h </w:instrText>
          </w:r>
          <w:r>
            <w:fldChar w:fldCharType="separate"/>
          </w:r>
          <w:r>
            <w:rPr>
              <w:rFonts w:ascii="Calibri" w:eastAsia="Calibri" w:hAnsi="Calibri" w:cs="Calibri"/>
              <w:color w:val="000000"/>
              <w:sz w:val="22"/>
              <w:szCs w:val="22"/>
            </w:rPr>
            <w:t>6</w:t>
          </w:r>
          <w:r>
            <w:fldChar w:fldCharType="end"/>
          </w:r>
        </w:p>
        <w:p w14:paraId="4491B80B" w14:textId="77777777" w:rsidR="00572A86" w:rsidRDefault="007944B8" w:rsidP="00945313">
          <w:pPr>
            <w:pBdr>
              <w:top w:val="nil"/>
              <w:left w:val="nil"/>
              <w:bottom w:val="nil"/>
              <w:right w:val="nil"/>
              <w:between w:val="nil"/>
            </w:pBdr>
            <w:tabs>
              <w:tab w:val="left" w:pos="567"/>
              <w:tab w:val="right" w:pos="8815"/>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WYMAGANIA DOTYCZĄCE SPRZĘTU I MASZYN</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_heading=h.z337ya \h </w:instrText>
          </w:r>
          <w:r>
            <w:fldChar w:fldCharType="separate"/>
          </w:r>
          <w:r>
            <w:rPr>
              <w:rFonts w:ascii="Calibri" w:eastAsia="Calibri" w:hAnsi="Calibri" w:cs="Calibri"/>
              <w:color w:val="000000"/>
              <w:sz w:val="22"/>
              <w:szCs w:val="22"/>
            </w:rPr>
            <w:t>8</w:t>
          </w:r>
          <w:r>
            <w:fldChar w:fldCharType="end"/>
          </w:r>
        </w:p>
        <w:p w14:paraId="254E5B5C" w14:textId="77777777" w:rsidR="00572A86" w:rsidRDefault="007944B8" w:rsidP="00945313">
          <w:pPr>
            <w:pBdr>
              <w:top w:val="nil"/>
              <w:left w:val="nil"/>
              <w:bottom w:val="nil"/>
              <w:right w:val="nil"/>
              <w:between w:val="nil"/>
            </w:pBdr>
            <w:tabs>
              <w:tab w:val="left" w:pos="567"/>
              <w:tab w:val="right" w:pos="8815"/>
              <w:tab w:val="left" w:pos="567"/>
              <w:tab w:val="right" w:pos="9498"/>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WYMAGANIA DOTYCZĄCE ŚRODKÓW TRANSPORTU</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_heading=h.3j2qqm3 \h </w:instrText>
          </w:r>
          <w:r>
            <w:fldChar w:fldCharType="separate"/>
          </w:r>
          <w:r>
            <w:rPr>
              <w:rFonts w:ascii="Calibri" w:eastAsia="Calibri" w:hAnsi="Calibri" w:cs="Calibri"/>
              <w:color w:val="000000"/>
              <w:sz w:val="22"/>
              <w:szCs w:val="22"/>
            </w:rPr>
            <w:t>9</w:t>
          </w:r>
          <w:r>
            <w:fldChar w:fldCharType="end"/>
          </w:r>
        </w:p>
        <w:p w14:paraId="4A139856" w14:textId="77777777" w:rsidR="00572A86" w:rsidRDefault="007944B8" w:rsidP="00945313">
          <w:pPr>
            <w:pBdr>
              <w:top w:val="nil"/>
              <w:left w:val="nil"/>
              <w:bottom w:val="nil"/>
              <w:right w:val="nil"/>
              <w:between w:val="nil"/>
            </w:pBdr>
            <w:tabs>
              <w:tab w:val="left" w:pos="567"/>
              <w:tab w:val="right" w:pos="8815"/>
              <w:tab w:val="left" w:pos="567"/>
              <w:tab w:val="right" w:pos="9498"/>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WYMAGANIA DOTYCZĄCE WYKONANIA I ODBIORU ROBÓT BUDOWLANYCH</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_heading=h.nmf14n \h </w:instrText>
          </w:r>
          <w:r>
            <w:fldChar w:fldCharType="separate"/>
          </w:r>
          <w:r>
            <w:rPr>
              <w:rFonts w:ascii="Calibri" w:eastAsia="Calibri" w:hAnsi="Calibri" w:cs="Calibri"/>
              <w:color w:val="000000"/>
              <w:sz w:val="22"/>
              <w:szCs w:val="22"/>
            </w:rPr>
            <w:t>10</w:t>
          </w:r>
          <w:r>
            <w:fldChar w:fldCharType="end"/>
          </w:r>
        </w:p>
        <w:p w14:paraId="6CC7F2C2" w14:textId="77777777" w:rsidR="00572A86" w:rsidRDefault="007944B8" w:rsidP="00945313">
          <w:pPr>
            <w:pBdr>
              <w:top w:val="nil"/>
              <w:left w:val="nil"/>
              <w:bottom w:val="nil"/>
              <w:right w:val="nil"/>
              <w:between w:val="nil"/>
            </w:pBdr>
            <w:tabs>
              <w:tab w:val="left" w:pos="567"/>
              <w:tab w:val="right" w:pos="8815"/>
              <w:tab w:val="left" w:pos="567"/>
              <w:tab w:val="right" w:pos="9498"/>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KONTROLA JAKOŚCI, ODBIÓR WYROBÓW I ROBÓT BUDOWLANYCH</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_heading=h.2p2csry \h </w:instrText>
          </w:r>
          <w:r>
            <w:fldChar w:fldCharType="separate"/>
          </w:r>
          <w:r>
            <w:rPr>
              <w:rFonts w:ascii="Calibri" w:eastAsia="Calibri" w:hAnsi="Calibri" w:cs="Calibri"/>
              <w:color w:val="000000"/>
              <w:sz w:val="22"/>
              <w:szCs w:val="22"/>
            </w:rPr>
            <w:t>17</w:t>
          </w:r>
          <w:r>
            <w:fldChar w:fldCharType="end"/>
          </w:r>
        </w:p>
        <w:p w14:paraId="4DB8DC4F" w14:textId="77777777" w:rsidR="00572A86" w:rsidRDefault="007944B8" w:rsidP="00945313">
          <w:pPr>
            <w:pBdr>
              <w:top w:val="nil"/>
              <w:left w:val="nil"/>
              <w:bottom w:val="nil"/>
              <w:right w:val="nil"/>
              <w:between w:val="nil"/>
            </w:pBdr>
            <w:tabs>
              <w:tab w:val="left" w:pos="567"/>
              <w:tab w:val="right" w:pos="8815"/>
              <w:tab w:val="left" w:pos="567"/>
              <w:tab w:val="right" w:pos="9498"/>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OPIS SPOSOBU ODBIORU ROBÓT BUDOWLANYCH</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_heading=h.37m2jsg \h </w:instrText>
          </w:r>
          <w:r>
            <w:fldChar w:fldCharType="separate"/>
          </w:r>
          <w:r>
            <w:rPr>
              <w:rFonts w:ascii="Calibri" w:eastAsia="Calibri" w:hAnsi="Calibri" w:cs="Calibri"/>
              <w:color w:val="000000"/>
              <w:sz w:val="22"/>
              <w:szCs w:val="22"/>
            </w:rPr>
            <w:t>20</w:t>
          </w:r>
          <w:r>
            <w:fldChar w:fldCharType="end"/>
          </w:r>
        </w:p>
        <w:p w14:paraId="47E8A8D4" w14:textId="77777777" w:rsidR="00572A86" w:rsidRDefault="007944B8" w:rsidP="00945313">
          <w:pPr>
            <w:pBdr>
              <w:top w:val="nil"/>
              <w:left w:val="nil"/>
              <w:bottom w:val="nil"/>
              <w:right w:val="nil"/>
              <w:between w:val="nil"/>
            </w:pBdr>
            <w:tabs>
              <w:tab w:val="left" w:pos="567"/>
              <w:tab w:val="left" w:pos="709"/>
              <w:tab w:val="right" w:pos="8815"/>
              <w:tab w:val="right" w:pos="9498"/>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PODSTAWY PŁATNOŚCI</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_heading=h.2u6wntf \h </w:instrText>
          </w:r>
          <w:r>
            <w:fldChar w:fldCharType="separate"/>
          </w:r>
          <w:r>
            <w:rPr>
              <w:rFonts w:ascii="Calibri" w:eastAsia="Calibri" w:hAnsi="Calibri" w:cs="Calibri"/>
              <w:color w:val="000000"/>
              <w:sz w:val="22"/>
              <w:szCs w:val="22"/>
            </w:rPr>
            <w:t>20</w:t>
          </w:r>
          <w:r>
            <w:fldChar w:fldCharType="end"/>
          </w:r>
        </w:p>
        <w:p w14:paraId="43A19698" w14:textId="77777777" w:rsidR="00572A86" w:rsidRDefault="007944B8" w:rsidP="00945313">
          <w:pPr>
            <w:pBdr>
              <w:top w:val="nil"/>
              <w:left w:val="nil"/>
              <w:bottom w:val="nil"/>
              <w:right w:val="nil"/>
              <w:between w:val="nil"/>
            </w:pBdr>
            <w:tabs>
              <w:tab w:val="left" w:pos="567"/>
              <w:tab w:val="right" w:pos="8815"/>
              <w:tab w:val="left" w:pos="567"/>
              <w:tab w:val="right" w:pos="9498"/>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9.</w:t>
          </w:r>
          <w:r>
            <w:rPr>
              <w:rFonts w:ascii="Calibri" w:eastAsia="Calibri" w:hAnsi="Calibri" w:cs="Calibri"/>
              <w:color w:val="000000"/>
              <w:sz w:val="22"/>
              <w:szCs w:val="22"/>
            </w:rPr>
            <w:tab/>
            <w:t>DOKUMENTY ODNIESIENIA</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_heading=h.19c6y18 \h </w:instrText>
          </w:r>
          <w:r>
            <w:fldChar w:fldCharType="separate"/>
          </w:r>
          <w:r>
            <w:rPr>
              <w:rFonts w:ascii="Calibri" w:eastAsia="Calibri" w:hAnsi="Calibri" w:cs="Calibri"/>
              <w:color w:val="000000"/>
              <w:sz w:val="22"/>
              <w:szCs w:val="22"/>
            </w:rPr>
            <w:t>20</w:t>
          </w:r>
          <w:r>
            <w:fldChar w:fldCharType="end"/>
          </w:r>
          <w:r>
            <w:fldChar w:fldCharType="end"/>
          </w:r>
        </w:p>
      </w:sdtContent>
    </w:sdt>
    <w:p w14:paraId="291B2D4C" w14:textId="77777777" w:rsidR="00572A86" w:rsidRDefault="00572A86">
      <w:pPr>
        <w:pBdr>
          <w:top w:val="nil"/>
          <w:left w:val="nil"/>
          <w:bottom w:val="nil"/>
          <w:right w:val="nil"/>
          <w:between w:val="nil"/>
        </w:pBdr>
        <w:tabs>
          <w:tab w:val="right" w:pos="8532"/>
          <w:tab w:val="left" w:pos="851"/>
          <w:tab w:val="right" w:pos="8815"/>
          <w:tab w:val="right" w:pos="9639"/>
        </w:tabs>
        <w:spacing w:line="276" w:lineRule="auto"/>
        <w:ind w:left="0" w:hanging="2"/>
        <w:rPr>
          <w:rFonts w:ascii="Calibri" w:eastAsia="Calibri" w:hAnsi="Calibri" w:cs="Calibri"/>
          <w:color w:val="000000"/>
          <w:sz w:val="22"/>
          <w:szCs w:val="22"/>
        </w:rPr>
      </w:pPr>
    </w:p>
    <w:p w14:paraId="12A57B8D" w14:textId="77777777" w:rsidR="00572A86" w:rsidRDefault="00572A86">
      <w:pPr>
        <w:pBdr>
          <w:top w:val="nil"/>
          <w:left w:val="nil"/>
          <w:bottom w:val="nil"/>
          <w:right w:val="nil"/>
          <w:between w:val="nil"/>
        </w:pBdr>
        <w:tabs>
          <w:tab w:val="left" w:pos="6946"/>
          <w:tab w:val="left" w:pos="8460"/>
        </w:tabs>
        <w:spacing w:line="240" w:lineRule="auto"/>
        <w:ind w:left="0" w:right="-2" w:hanging="2"/>
        <w:jc w:val="both"/>
        <w:rPr>
          <w:rFonts w:ascii="Calibri" w:eastAsia="Calibri" w:hAnsi="Calibri" w:cs="Calibri"/>
          <w:color w:val="000000"/>
          <w:sz w:val="22"/>
          <w:szCs w:val="22"/>
        </w:rPr>
      </w:pPr>
    </w:p>
    <w:p w14:paraId="718199E0"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3F9156C"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5B78B34"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D6421DA"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573B1D8"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 w:name="_heading=h.gjdgxs" w:colFirst="0" w:colLast="0"/>
      <w:bookmarkEnd w:id="1"/>
    </w:p>
    <w:p w14:paraId="427A5282" w14:textId="77777777" w:rsidR="00572A86" w:rsidRDefault="007944B8">
      <w:pPr>
        <w:keepNext/>
        <w:numPr>
          <w:ilvl w:val="0"/>
          <w:numId w:val="33"/>
        </w:numPr>
        <w:pBdr>
          <w:top w:val="nil"/>
          <w:left w:val="nil"/>
          <w:bottom w:val="nil"/>
          <w:right w:val="nil"/>
          <w:between w:val="nil"/>
        </w:pBdr>
        <w:spacing w:before="240" w:after="60" w:line="240" w:lineRule="auto"/>
        <w:ind w:left="0" w:hanging="2"/>
        <w:rPr>
          <w:rFonts w:ascii="Calibri" w:eastAsia="Calibri" w:hAnsi="Calibri" w:cs="Calibri"/>
          <w:b/>
          <w:sz w:val="22"/>
          <w:szCs w:val="22"/>
        </w:rPr>
      </w:pPr>
      <w:r>
        <w:br w:type="page"/>
      </w:r>
      <w:r>
        <w:rPr>
          <w:rFonts w:ascii="Calibri" w:eastAsia="Calibri" w:hAnsi="Calibri" w:cs="Calibri"/>
          <w:b/>
          <w:color w:val="000000"/>
        </w:rPr>
        <w:lastRenderedPageBreak/>
        <w:t>WSTĘP</w:t>
      </w:r>
    </w:p>
    <w:p w14:paraId="69BC110D"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EE71907" w14:textId="77777777" w:rsidR="00572A86" w:rsidRDefault="007944B8">
      <w:pPr>
        <w:keepNext/>
        <w:numPr>
          <w:ilvl w:val="1"/>
          <w:numId w:val="6"/>
        </w:numPr>
        <w:pBdr>
          <w:top w:val="nil"/>
          <w:left w:val="nil"/>
          <w:bottom w:val="nil"/>
          <w:right w:val="nil"/>
          <w:between w:val="nil"/>
        </w:pBdr>
        <w:spacing w:before="240" w:line="360" w:lineRule="auto"/>
        <w:ind w:left="0" w:hanging="2"/>
        <w:rPr>
          <w:rFonts w:ascii="Calibri" w:eastAsia="Calibri" w:hAnsi="Calibri" w:cs="Calibri"/>
          <w:color w:val="000000"/>
          <w:sz w:val="22"/>
          <w:szCs w:val="22"/>
        </w:rPr>
      </w:pPr>
      <w:bookmarkStart w:id="2" w:name="_heading=h.30j0zll" w:colFirst="0" w:colLast="0"/>
      <w:bookmarkEnd w:id="2"/>
      <w:r>
        <w:rPr>
          <w:rFonts w:ascii="Calibri" w:eastAsia="Calibri" w:hAnsi="Calibri" w:cs="Calibri"/>
          <w:color w:val="000000"/>
          <w:sz w:val="22"/>
          <w:szCs w:val="22"/>
        </w:rPr>
        <w:t xml:space="preserve"> </w:t>
      </w:r>
      <w:r>
        <w:rPr>
          <w:rFonts w:ascii="Calibri" w:eastAsia="Calibri" w:hAnsi="Calibri" w:cs="Calibri"/>
          <w:color w:val="000000"/>
          <w:sz w:val="22"/>
          <w:szCs w:val="22"/>
        </w:rPr>
        <w:tab/>
      </w:r>
      <w:r>
        <w:rPr>
          <w:rFonts w:ascii="Calibri" w:eastAsia="Calibri" w:hAnsi="Calibri" w:cs="Calibri"/>
          <w:b/>
          <w:color w:val="000000"/>
          <w:sz w:val="22"/>
          <w:szCs w:val="22"/>
        </w:rPr>
        <w:t>Nazwa nadana zamówieniu przez Zamawiającego</w:t>
      </w:r>
    </w:p>
    <w:p w14:paraId="32B824AB" w14:textId="4D8EA901"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budowlane w zakresie:</w:t>
      </w:r>
    </w:p>
    <w:p w14:paraId="74F66D24" w14:textId="77777777" w:rsidR="009544F3" w:rsidRDefault="009544F3">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E91F051" w14:textId="4222FB59" w:rsidR="00572A86" w:rsidRPr="00305DD6" w:rsidRDefault="00336050" w:rsidP="009544F3">
      <w:pPr>
        <w:pBdr>
          <w:top w:val="nil"/>
          <w:left w:val="nil"/>
          <w:bottom w:val="nil"/>
          <w:right w:val="nil"/>
          <w:between w:val="nil"/>
        </w:pBdr>
        <w:spacing w:line="276" w:lineRule="auto"/>
        <w:ind w:left="0" w:hanging="2"/>
        <w:rPr>
          <w:rFonts w:ascii="Calibri" w:eastAsia="Calibri" w:hAnsi="Calibri" w:cs="Calibri"/>
          <w:bCs/>
          <w:color w:val="000000"/>
          <w:sz w:val="22"/>
          <w:szCs w:val="22"/>
        </w:rPr>
      </w:pPr>
      <w:sdt>
        <w:sdtPr>
          <w:rPr>
            <w:rFonts w:ascii="Calibri" w:eastAsia="Calibri" w:hAnsi="Calibri" w:cs="Calibri"/>
            <w:b/>
            <w:sz w:val="22"/>
            <w:szCs w:val="22"/>
          </w:rPr>
          <w:tag w:val="goog_rdk_0"/>
          <w:id w:val="-452557630"/>
          <w:showingPlcHdr/>
        </w:sdtPr>
        <w:sdtEndPr/>
        <w:sdtContent>
          <w:r w:rsidR="009544F3" w:rsidRPr="00305DD6">
            <w:rPr>
              <w:rFonts w:ascii="Calibri" w:eastAsia="Calibri" w:hAnsi="Calibri" w:cs="Calibri"/>
              <w:b/>
              <w:sz w:val="22"/>
              <w:szCs w:val="22"/>
            </w:rPr>
            <w:t xml:space="preserve">     </w:t>
          </w:r>
        </w:sdtContent>
      </w:sdt>
      <w:sdt>
        <w:sdtPr>
          <w:rPr>
            <w:rFonts w:ascii="Calibri" w:eastAsia="Calibri" w:hAnsi="Calibri" w:cs="Calibri"/>
            <w:b/>
            <w:sz w:val="22"/>
            <w:szCs w:val="22"/>
          </w:rPr>
          <w:tag w:val="goog_rdk_0"/>
          <w:id w:val="-1644035789"/>
        </w:sdtPr>
        <w:sdtContent>
          <w:r w:rsidR="00305DD6" w:rsidRPr="00305DD6">
            <w:rPr>
              <w:rFonts w:ascii="Calibri" w:eastAsia="Calibri" w:hAnsi="Calibri" w:cs="Calibri"/>
              <w:b/>
              <w:sz w:val="22"/>
              <w:szCs w:val="22"/>
            </w:rPr>
            <w:t xml:space="preserve">Przebudowa i budowa osiedlowej sieci ciepłowniczej pomiędzy komorami O23A/L2A i O23A/L3 wraz </w:t>
          </w:r>
          <w:r w:rsidR="00305DD6">
            <w:rPr>
              <w:rFonts w:ascii="Calibri" w:eastAsia="Calibri" w:hAnsi="Calibri" w:cs="Calibri"/>
              <w:b/>
              <w:sz w:val="22"/>
              <w:szCs w:val="22"/>
            </w:rPr>
            <w:br/>
          </w:r>
          <w:r w:rsidR="00305DD6" w:rsidRPr="00305DD6">
            <w:rPr>
              <w:rFonts w:ascii="Calibri" w:eastAsia="Calibri" w:hAnsi="Calibri" w:cs="Calibri"/>
              <w:b/>
              <w:sz w:val="22"/>
              <w:szCs w:val="22"/>
            </w:rPr>
            <w:t>z fragmentem osiedlowej sieci ciepłowniczej 2xDN100 i przyłączem ciepłowniczym do budynku szkoły przy ul. Piaseczyńskiej 114/116</w:t>
          </w:r>
        </w:sdtContent>
      </w:sdt>
      <w:r w:rsidR="009544F3" w:rsidRPr="00305DD6">
        <w:rPr>
          <w:rFonts w:ascii="Calibri" w:eastAsia="Calibri" w:hAnsi="Calibri" w:cs="Calibri"/>
          <w:b/>
          <w:sz w:val="22"/>
          <w:szCs w:val="22"/>
        </w:rPr>
        <w:t xml:space="preserve"> </w:t>
      </w:r>
    </w:p>
    <w:p w14:paraId="4FBD2805" w14:textId="77777777" w:rsidR="00572A86" w:rsidRDefault="007944B8">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 xml:space="preserve"> Przedmiot i zakres robót budowlanych.</w:t>
      </w:r>
    </w:p>
    <w:p w14:paraId="26B5246E"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Przedmiotem niniejszej specyfikacji technicznej są wymagania dotyczące wykonania i odbioru robót budowlanych związanych z robotami rozbiórkowymi i odtworzeniowymi nawierzchni chodników i jezdni na zadaniu wymienionym w pkt.1.1.</w:t>
      </w:r>
    </w:p>
    <w:p w14:paraId="0E4356EC" w14:textId="77777777" w:rsidR="00572A86" w:rsidRDefault="007944B8">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demontażem i odtworzeniem nawierzchni należy wykonywać zgodnie z załączonymi do dokumentacji projektowej decyzjami, uzgodnieniami z właścicielami terenu oraz projektem odtworzenia nawierzchni.</w:t>
      </w:r>
    </w:p>
    <w:p w14:paraId="486A4FBC" w14:textId="77777777" w:rsidR="00572A86" w:rsidRDefault="00572A86">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3181BB63" w14:textId="77777777" w:rsidR="00572A86" w:rsidRDefault="007944B8">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Roboty przygotowawcze:</w:t>
      </w:r>
    </w:p>
    <w:p w14:paraId="58FE8181"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i obiektu zgodnie  ze ST tom II,</w:t>
      </w:r>
    </w:p>
    <w:p w14:paraId="36BB2913"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Organizacja zaplecza budowy,</w:t>
      </w:r>
    </w:p>
    <w:p w14:paraId="4523975E"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Wygrodzenie i zabezpieczenie terenu budowy,</w:t>
      </w:r>
    </w:p>
    <w:p w14:paraId="0172C659"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Zajęcie terenu dla prowadzenia robót,</w:t>
      </w:r>
    </w:p>
    <w:p w14:paraId="2B2FE59A"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6788114C"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6A0C7978"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 i gruntowych.</w:t>
      </w:r>
    </w:p>
    <w:p w14:paraId="7B9CE57B"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zasilania w energię elektryczną i wodę oraz usuwanie ścieków i odpadów,</w:t>
      </w:r>
    </w:p>
    <w:p w14:paraId="4D1C874F"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Oznakowanie robót prowadzonych w pasie drogowym.</w:t>
      </w:r>
    </w:p>
    <w:p w14:paraId="5A7FC3A1"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7280E0D6"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istniejących warstw nawierzchni chodników i jezdni,</w:t>
      </w:r>
    </w:p>
    <w:p w14:paraId="553E5A6B"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Sfotografowanie i sporządzenie dokumentacji istniejącego stanu nawierzchni,</w:t>
      </w:r>
    </w:p>
    <w:p w14:paraId="541F8B45"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Ochronę robót, materiałów i urządzeń niezbędnych do realizacji zadania do dnia odbioru końcowego całości przedmiotu zamówienia,</w:t>
      </w:r>
    </w:p>
    <w:p w14:paraId="592EAC15"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Zabezpieczenie drzew i krzewów w pasie frontu robót, na terenie zaplecza budowy i terenach przyległych </w:t>
      </w:r>
    </w:p>
    <w:p w14:paraId="6E8C8F8C"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Wywózkę infrastruktury towarzyszącej na złom i zwałkę oraz utylizację odpadów zgodnie z zapisami Ustawy o odpadach z dnia 14 grudnia 2012r.</w:t>
      </w:r>
    </w:p>
    <w:p w14:paraId="216BD99C" w14:textId="77777777" w:rsidR="00572A86" w:rsidRDefault="007944B8">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Opracowanie planu bezpieczeństwa i ochrony zdrowia zgodnie z Rozporządzeniem Ministra Infrastruktury z dnia 23 czerwca 2003r. Dz.U.2003 nr 120 poz.1126,</w:t>
      </w:r>
    </w:p>
    <w:p w14:paraId="4187F0F1" w14:textId="77777777" w:rsidR="00572A86" w:rsidRDefault="00572A86">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17331B08" w14:textId="77777777" w:rsidR="00572A86" w:rsidRDefault="007944B8">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zasadnicze:</w:t>
      </w:r>
    </w:p>
    <w:p w14:paraId="1EA0AE57"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warstwy podsypkowej,</w:t>
      </w:r>
    </w:p>
    <w:p w14:paraId="154D0E6F"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podbudowy z chudego betonu,</w:t>
      </w:r>
    </w:p>
    <w:p w14:paraId="482F6F19"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betonowej,</w:t>
      </w:r>
    </w:p>
    <w:p w14:paraId="5EC5E374"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kamiennej,</w:t>
      </w:r>
    </w:p>
    <w:p w14:paraId="68B3BD05"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betonu asfaltowego,</w:t>
      </w:r>
    </w:p>
    <w:p w14:paraId="52674786"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Wykonanie (odtworzenie) nawierzchni z płyt betonowych 35x35x5, 50x50 x7, płyt betonowych sześciokątnych i kwadratowych,</w:t>
      </w:r>
    </w:p>
    <w:p w14:paraId="5F2FD04C"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krawężników i obrzeży,</w:t>
      </w:r>
    </w:p>
    <w:p w14:paraId="4856CDAC"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oznakowania poziomego jezdni,</w:t>
      </w:r>
    </w:p>
    <w:p w14:paraId="451D2610" w14:textId="77777777" w:rsidR="00572A86" w:rsidRDefault="007944B8">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Koszty oceny stopnia zagęszczenia gruntu</w:t>
      </w:r>
    </w:p>
    <w:p w14:paraId="0A4A00D8" w14:textId="77777777" w:rsidR="00572A86" w:rsidRDefault="00572A86">
      <w:pPr>
        <w:pBdr>
          <w:top w:val="nil"/>
          <w:left w:val="nil"/>
          <w:bottom w:val="nil"/>
          <w:right w:val="nil"/>
          <w:between w:val="nil"/>
        </w:pBdr>
        <w:shd w:val="clear" w:color="auto" w:fill="FFFFFF"/>
        <w:tabs>
          <w:tab w:val="left" w:pos="773"/>
        </w:tabs>
        <w:spacing w:line="240" w:lineRule="auto"/>
        <w:ind w:left="0" w:hanging="2"/>
        <w:rPr>
          <w:rFonts w:ascii="Calibri" w:eastAsia="Calibri" w:hAnsi="Calibri" w:cs="Calibri"/>
          <w:color w:val="000000"/>
          <w:sz w:val="22"/>
          <w:szCs w:val="22"/>
          <w:u w:val="single"/>
        </w:rPr>
      </w:pPr>
    </w:p>
    <w:p w14:paraId="540F0774" w14:textId="77777777" w:rsidR="00572A86" w:rsidRDefault="007944B8">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końcowe</w:t>
      </w:r>
    </w:p>
    <w:p w14:paraId="5F9DD4B1" w14:textId="77777777" w:rsidR="00572A86" w:rsidRDefault="007944B8">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Uporządkowanie terenu prowadzenia robót i, terenów przyległych i przekazanie właścicielowi, </w:t>
      </w:r>
    </w:p>
    <w:p w14:paraId="44F56530" w14:textId="77777777" w:rsidR="00572A86" w:rsidRDefault="007944B8">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oznakowania tymczasowego,</w:t>
      </w:r>
    </w:p>
    <w:p w14:paraId="1537C8F1" w14:textId="77777777" w:rsidR="00572A86" w:rsidRDefault="007944B8">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istniejącego zaplecza ,</w:t>
      </w:r>
    </w:p>
    <w:p w14:paraId="18248B9D" w14:textId="77777777" w:rsidR="00572A86" w:rsidRDefault="007944B8">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zasilania w energię elektryczną i wodę,</w:t>
      </w:r>
    </w:p>
    <w:p w14:paraId="4D0CB324" w14:textId="77777777" w:rsidR="00572A86" w:rsidRDefault="007944B8">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Sporządzenie dokumentacji powykonawczej,</w:t>
      </w:r>
    </w:p>
    <w:p w14:paraId="7B415340" w14:textId="77777777" w:rsidR="00572A86" w:rsidRDefault="00572A86">
      <w:pPr>
        <w:pBdr>
          <w:top w:val="nil"/>
          <w:left w:val="nil"/>
          <w:bottom w:val="nil"/>
          <w:right w:val="nil"/>
          <w:between w:val="nil"/>
        </w:pBdr>
        <w:shd w:val="clear" w:color="auto" w:fill="FFFFFF"/>
        <w:tabs>
          <w:tab w:val="left" w:pos="720"/>
          <w:tab w:val="left" w:pos="773"/>
        </w:tabs>
        <w:spacing w:line="240" w:lineRule="auto"/>
        <w:ind w:left="0" w:hanging="2"/>
        <w:rPr>
          <w:rFonts w:ascii="Calibri" w:eastAsia="Calibri" w:hAnsi="Calibri" w:cs="Calibri"/>
          <w:color w:val="000000"/>
          <w:sz w:val="22"/>
          <w:szCs w:val="22"/>
        </w:rPr>
      </w:pPr>
    </w:p>
    <w:p w14:paraId="1423C307" w14:textId="77777777" w:rsidR="00572A86" w:rsidRDefault="007944B8">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3" w:name="_heading=h.3dy6vkm" w:colFirst="0" w:colLast="0"/>
      <w:bookmarkEnd w:id="3"/>
      <w:r>
        <w:rPr>
          <w:rFonts w:ascii="Calibri" w:eastAsia="Calibri" w:hAnsi="Calibri" w:cs="Calibri"/>
          <w:b/>
          <w:color w:val="000000"/>
          <w:sz w:val="22"/>
          <w:szCs w:val="22"/>
        </w:rPr>
        <w:t xml:space="preserve">  Informacje o terenie budowy.</w:t>
      </w:r>
    </w:p>
    <w:p w14:paraId="3AFD91ED"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Informacje ogólne o terenie budowy zamieszczone zostały w ST tom I pkt. 3.</w:t>
      </w:r>
    </w:p>
    <w:p w14:paraId="2CD3F549"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Zamawiający, w terminie określonym w dokumentach umowy przekaże Wykonawcy teren budowy wraz ze wszystkimi wymaganymi uzgodnieniami prawnymi i administracyjnymi oraz specyfikacją techniczną wykonania i odbioru robót. Specyfikacja techniczna wykonania i odbioru robót oraz dodatkowe dokumenty przekazane Wykonawcy przez inspektora nadzoru stanowią załącznik do umowy, a wymagania wyszczególnione w choćby jednym z nich są obowiązujące dla Wykonawcy tak, jakby zawarte były w całej dokumentacji. </w:t>
      </w:r>
    </w:p>
    <w:p w14:paraId="5A75B03C"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nie może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a o ich wykryciu winien natychmiast powiadomić Zamawiającego, który dokona odpowiednich zmian i poprawek. </w:t>
      </w:r>
    </w:p>
    <w:p w14:paraId="6FF6C8E8"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w:t>
      </w:r>
    </w:p>
    <w:p w14:paraId="698667B0"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Cechy materiałów i elementów budowli muszą być jednorodne i wykazywać zgodność z określonymi wymaganiami, a rozrzuty tych cech nie mogą przekraczać dopuszczalnego przedziału tolerancji. </w:t>
      </w:r>
    </w:p>
    <w:p w14:paraId="6444AB12"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 </w:t>
      </w:r>
    </w:p>
    <w:p w14:paraId="3963AD1A"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zabezpieczenia terenu budowy w okresie trwania realizacji robót aż do zakończenia i odbioru końcowego. </w:t>
      </w:r>
    </w:p>
    <w:p w14:paraId="3FF496F0"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dostarczy, zainstaluje i będzie utrzymywał tymczasowe urządzenia zabezpieczające, w tym: ogrodzenia, poręcze, sygnały i znaki ostrzegawcze i wszelkie środki niezbędne do ochrony robót, wygody społeczności i innych. </w:t>
      </w:r>
    </w:p>
    <w:p w14:paraId="254F3C85"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ma obowiązek znać i stosować w czasie prowadzenia robót budowlanych wszelkie przepisy dotyczące ochrony środowiska naturalnego.</w:t>
      </w:r>
    </w:p>
    <w:p w14:paraId="6BD19128" w14:textId="77777777" w:rsidR="00572A86" w:rsidRDefault="007944B8">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 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14:paraId="61BA9960" w14:textId="77777777" w:rsidR="00572A86" w:rsidRDefault="00572A86">
      <w:pPr>
        <w:pBdr>
          <w:top w:val="nil"/>
          <w:left w:val="nil"/>
          <w:bottom w:val="nil"/>
          <w:right w:val="nil"/>
          <w:between w:val="nil"/>
        </w:pBdr>
        <w:tabs>
          <w:tab w:val="left" w:pos="0"/>
          <w:tab w:val="left" w:pos="360"/>
          <w:tab w:val="left" w:pos="2977"/>
          <w:tab w:val="left" w:pos="3969"/>
          <w:tab w:val="left" w:pos="6096"/>
          <w:tab w:val="left" w:pos="6804"/>
          <w:tab w:val="left" w:pos="6946"/>
        </w:tabs>
        <w:spacing w:line="240" w:lineRule="auto"/>
        <w:ind w:left="0" w:hanging="2"/>
        <w:jc w:val="both"/>
        <w:rPr>
          <w:rFonts w:ascii="Calibri" w:eastAsia="Calibri" w:hAnsi="Calibri" w:cs="Calibri"/>
          <w:color w:val="000000"/>
          <w:sz w:val="22"/>
          <w:szCs w:val="22"/>
        </w:rPr>
      </w:pPr>
    </w:p>
    <w:p w14:paraId="4E9ADCCE" w14:textId="77777777" w:rsidR="00572A86" w:rsidRDefault="007944B8">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4" w:name="_heading=h.1t3h5sf" w:colFirst="0" w:colLast="0"/>
      <w:bookmarkEnd w:id="4"/>
      <w:r>
        <w:rPr>
          <w:rFonts w:ascii="Calibri" w:eastAsia="Calibri" w:hAnsi="Calibri" w:cs="Calibri"/>
          <w:b/>
          <w:color w:val="000000"/>
          <w:sz w:val="22"/>
          <w:szCs w:val="22"/>
        </w:rPr>
        <w:t xml:space="preserve">  Obowiązujące przepisy przy realizacji zamówienia</w:t>
      </w:r>
    </w:p>
    <w:p w14:paraId="26159804" w14:textId="77777777" w:rsidR="00572A86" w:rsidRDefault="00572A86">
      <w:pPr>
        <w:pBdr>
          <w:top w:val="nil"/>
          <w:left w:val="nil"/>
          <w:bottom w:val="nil"/>
          <w:right w:val="nil"/>
          <w:between w:val="nil"/>
        </w:pBdr>
        <w:tabs>
          <w:tab w:val="left" w:pos="0"/>
          <w:tab w:val="left" w:pos="360"/>
          <w:tab w:val="left" w:pos="2977"/>
          <w:tab w:val="left" w:pos="6946"/>
        </w:tabs>
        <w:spacing w:line="240" w:lineRule="auto"/>
        <w:ind w:left="0" w:hanging="2"/>
        <w:rPr>
          <w:rFonts w:ascii="Calibri" w:eastAsia="Calibri" w:hAnsi="Calibri" w:cs="Calibri"/>
          <w:color w:val="000000"/>
          <w:sz w:val="22"/>
          <w:szCs w:val="22"/>
        </w:rPr>
      </w:pPr>
    </w:p>
    <w:p w14:paraId="25758861" w14:textId="77777777" w:rsidR="00572A86" w:rsidRDefault="007944B8">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Podczas realizacji robót budowlanych Wykonawca będzie przestrzegać obowiązujących przepisów dotyczących bezpieczeństwa i higieny pracy między innymi:</w:t>
      </w:r>
    </w:p>
    <w:p w14:paraId="28FDAA2F" w14:textId="77777777" w:rsidR="00572A86" w:rsidRDefault="007944B8">
      <w:pPr>
        <w:numPr>
          <w:ilvl w:val="0"/>
          <w:numId w:val="17"/>
        </w:numPr>
        <w:pBdr>
          <w:top w:val="nil"/>
          <w:left w:val="nil"/>
          <w:bottom w:val="nil"/>
          <w:right w:val="nil"/>
          <w:between w:val="nil"/>
        </w:pBdr>
        <w:tabs>
          <w:tab w:val="left" w:pos="0"/>
          <w:tab w:val="left" w:pos="360"/>
          <w:tab w:val="left" w:pos="709"/>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Gospodarki z dnia 30 października 2002 r. w sprawie minimalnych wymagań dotyczących bezpieczeństwa i higieny pracy w zakresie użytkowania maszyn przez pracowników podczas pracy (Dz. U. 2002 nr 191 poz. 1596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2676A8B7"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Obwieszczenie Ministra Gospodarki, Pracy i Polityki Społecznej z dnia 28 sierpnia 2003 r. w sprawie ogłoszenia jednolitego tekstu rozporządzenia Ministra Pracy i Polityki Socjalnej w sprawie ogólnych przepisów bezpieczeństwa i higieny pracy (Dz. U. 2003 nr 169 poz. 1650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31332D94"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Rozwoju i Technologii z dnia 12 września 2023 r. w sprawie bezpieczeństwa i higieny pracy przy czyszczeniu powierzchni, malowaniu natryskowym i natryskiwaniu cieplnym (Dz. U. 2023 poz. 2159).</w:t>
      </w:r>
    </w:p>
    <w:p w14:paraId="136849FB"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Infrastruktury z dnia 30 sierpnia 2004 r. w sprawie warunków i trybu postępowania w sprawach rozbiórek </w:t>
      </w:r>
      <w:r>
        <w:rPr>
          <w:rFonts w:ascii="Calibri" w:eastAsia="Calibri" w:hAnsi="Calibri" w:cs="Calibri"/>
          <w:sz w:val="22"/>
          <w:szCs w:val="22"/>
        </w:rPr>
        <w:t>nieużytkowanych</w:t>
      </w:r>
      <w:r>
        <w:rPr>
          <w:rFonts w:ascii="Calibri" w:eastAsia="Calibri" w:hAnsi="Calibri" w:cs="Calibri"/>
          <w:color w:val="000000"/>
          <w:sz w:val="22"/>
          <w:szCs w:val="22"/>
        </w:rPr>
        <w:t xml:space="preserve"> lub niewykończonych obiektów budowlanych (Dz. U. 2004 nr 198 poz. 2043).</w:t>
      </w:r>
    </w:p>
    <w:p w14:paraId="22EAD30A"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Gospodarki i Pracy z dnia 27 lipca 2004 r. w sprawie szkolenia w dziedzinie bezpieczeństwa i higieny pracy (Dz. U. 2024 poz. 1327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25AEEA98"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Infrastruktury z dnia 6 lutego 2003 r. w sprawie bezpieczeństwa i higieny pracy podczas wykonywania robót budowlanych ( Dz. U. 2003 nr 47 poz. 401).</w:t>
      </w:r>
    </w:p>
    <w:p w14:paraId="426A9964"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Rodziny, Pracy i Polityki Społecznej z dnia 12 czerwca 2018 r. w sprawie najwyższych dopuszczalnych stężeń i natężeń czynników szkodliwych dla zdrowia w środowisku pracy (Dz. U. 2018 poz. 1286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E8B78CF"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Obwieszczenie Ministra Rodziny, Pracy i Polityki Socjalnej z dnia 11 maja 2018 w sprawie ogłoszenia jednolitego tekstu Rozporządzenia Ministra Pracy i Polityki Społecznej z dnia 14 marca 2000 r. w sprawie bezpieczeństwa i higieny pracy przy ręcznych pracach transportowych (Dz. U. 2018 poz. 1139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17A64AC2"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Obwieszczenie Ministra Klimatu i Środowiska z dnia 8 czerwca 2021r. w sprawie ogłoszenia jednolitego tekstu Rozporządzenia Ministra Energii z dnia 28 sierpnia 2019 r. w sprawie bezpieczeństwa i higieny pracy przy urządzeniach energetycznych (Dz. U. 2021 poz. 1210).</w:t>
      </w:r>
    </w:p>
    <w:p w14:paraId="618EB8BC" w14:textId="77777777" w:rsidR="00572A86" w:rsidRDefault="007944B8">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Klimatu i Środowiska z dnia 1 lipca 2022 r. w sprawie szczegółowych zasad stwierdzania posiadania kwalifikacji przez osoby zajmujące się eksploatacją urządzeń, instalacji i sieci (Dz. U. 2022 poz. 1392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3B51F058" w14:textId="77777777" w:rsidR="00572A86" w:rsidRDefault="007944B8">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 szczególności Wykonawca ma obowiązek zadbać, aby personel nie wykonywał pracy w warunkach niebezpiecznych, szkodliwych dla zdrowia oraz niespełniających wymagań sanitarnych Wszystkim pracownikom należy wydać odzież i obuwie robocze, a także środki ochrony, stosownie  do rodzaju wykonywanej pracy. Pracownicy powinni być poinstruowani o obowiązku stosowania w czasie pracy przydzielonych środków ochrony osobistej. Środki ochrony osobistej powinny mieć wymagany certyfikat na znak bezpieczeństwa i powinny być oznaczone tym znakiem. Do środków ochrony osobistej należą: odzież ochronna, kaski ochronne, rękawice ochronne, a w przypadkach koniecznych także okulary ochronne. </w:t>
      </w:r>
    </w:p>
    <w:p w14:paraId="517E36F6" w14:textId="77777777" w:rsidR="00572A86" w:rsidRDefault="007944B8">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Wykonawca zapewni i będzie utrzymywał wszelkie urządzenia zabezpieczające, socjalne oraz sprzęt i odpowiednią odzież dla ochrony życia i zdrowia osób zatrudnionych na terenie prowadzenia robót. Uznaje się, że wszelkie koszty związane z wypełnieniem wymagań określonych powyżej nie podlegają odrębnej zapłacie i są uwzględnione w cenie umownej. </w:t>
      </w:r>
    </w:p>
    <w:p w14:paraId="720F50C8" w14:textId="77777777" w:rsidR="00572A86" w:rsidRDefault="007944B8">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Wykonawca będzie odpowiedzialny za ochronę robót i za wszelkie materiały i urządzenia używane do robót od daty rozpoczęcia do daty odbioru końcowego. 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w:t>
      </w:r>
    </w:p>
    <w:p w14:paraId="509B0B8E" w14:textId="77777777" w:rsidR="00572A86" w:rsidRDefault="00572A86">
      <w:pPr>
        <w:pBdr>
          <w:top w:val="nil"/>
          <w:left w:val="nil"/>
          <w:bottom w:val="nil"/>
          <w:right w:val="nil"/>
          <w:between w:val="nil"/>
        </w:pBdr>
        <w:tabs>
          <w:tab w:val="left" w:pos="360"/>
          <w:tab w:val="left" w:pos="6946"/>
        </w:tabs>
        <w:spacing w:line="240" w:lineRule="auto"/>
        <w:ind w:left="0" w:hanging="2"/>
        <w:jc w:val="both"/>
        <w:rPr>
          <w:rFonts w:ascii="Calibri" w:eastAsia="Calibri" w:hAnsi="Calibri" w:cs="Calibri"/>
          <w:color w:val="000000"/>
          <w:sz w:val="22"/>
          <w:szCs w:val="22"/>
        </w:rPr>
      </w:pPr>
    </w:p>
    <w:p w14:paraId="67172D03" w14:textId="77777777" w:rsidR="00572A86" w:rsidRDefault="007944B8">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5" w:name="_heading=h.4d34og8" w:colFirst="0" w:colLast="0"/>
      <w:bookmarkEnd w:id="5"/>
      <w:r>
        <w:rPr>
          <w:rFonts w:ascii="Calibri" w:eastAsia="Calibri" w:hAnsi="Calibri" w:cs="Calibri"/>
          <w:b/>
          <w:color w:val="000000"/>
          <w:sz w:val="22"/>
          <w:szCs w:val="22"/>
        </w:rPr>
        <w:t xml:space="preserve">  Klasyfikacja robót</w:t>
      </w:r>
    </w:p>
    <w:p w14:paraId="7F26B18A"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Zgodnie z ST tom I pkt 11.</w:t>
      </w:r>
    </w:p>
    <w:p w14:paraId="0A75F917"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6" w:name="_heading=h.2s8eyo1" w:colFirst="0" w:colLast="0"/>
      <w:bookmarkEnd w:id="6"/>
    </w:p>
    <w:p w14:paraId="6AE1A7DE" w14:textId="77777777" w:rsidR="00572A86" w:rsidRDefault="007944B8">
      <w:pPr>
        <w:keepNext/>
        <w:numPr>
          <w:ilvl w:val="0"/>
          <w:numId w:val="33"/>
        </w:numPr>
        <w:pBdr>
          <w:top w:val="nil"/>
          <w:left w:val="nil"/>
          <w:bottom w:val="nil"/>
          <w:right w:val="nil"/>
          <w:between w:val="nil"/>
        </w:pBdr>
        <w:spacing w:before="240" w:after="60" w:line="240" w:lineRule="auto"/>
        <w:ind w:left="0" w:hanging="2"/>
        <w:rPr>
          <w:rFonts w:ascii="Calibri" w:eastAsia="Calibri" w:hAnsi="Calibri" w:cs="Calibri"/>
          <w:b/>
        </w:rPr>
      </w:pPr>
      <w:r>
        <w:rPr>
          <w:rFonts w:ascii="Calibri" w:eastAsia="Calibri" w:hAnsi="Calibri" w:cs="Calibri"/>
          <w:b/>
          <w:color w:val="000000"/>
        </w:rPr>
        <w:t>MATERIAŁY</w:t>
      </w:r>
    </w:p>
    <w:p w14:paraId="6DF1D88C"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720D5816"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materiałowe zostały zawarte w ST  tom I pkt. 13</w:t>
      </w:r>
    </w:p>
    <w:p w14:paraId="04F92D1F"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7" w:name="_heading=h.17dp8vu" w:colFirst="0" w:colLast="0"/>
      <w:bookmarkEnd w:id="7"/>
    </w:p>
    <w:p w14:paraId="6644ABBE"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737D7BAD" w14:textId="77777777" w:rsidR="00572A86" w:rsidRDefault="007944B8">
      <w:pPr>
        <w:numPr>
          <w:ilvl w:val="0"/>
          <w:numId w:val="3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wykonane roboty i dostarczone materiały mają być zgodne ze specyfikacją techniczną wykonania i odbioru robót budowlanych. Parametry określone w specyfikacji technicznej wykonania i odbioru robót będą uważane za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t>
      </w:r>
    </w:p>
    <w:p w14:paraId="2FFE8C04" w14:textId="77777777" w:rsidR="00572A86" w:rsidRDefault="007944B8">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 przypadku, gdy dostarczone materiały lub wykonane roboty nie będą zgodne z dokumentacją ze specyfikacją techniczną wykonania i odbioru robót i mają wpływ na niezadowalającą jakość elementu budowli, to takie materiały zostaną zastąpione innymi, a elementy budowli rozebrane i wykonane ponownie na koszt wykonawcy.</w:t>
      </w:r>
    </w:p>
    <w:p w14:paraId="534E4C25" w14:textId="77777777" w:rsidR="00572A86" w:rsidRDefault="007944B8">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Wszystkie materiały i urządzenia użyte do wykonania robót budowlanych powinny spełniać wymagania odpowiednich norm i posiadać aprobaty techniczne, atesty, certyfikaty, świadectwa dopuszczenia do stosowania, deklaracje zgodności wymagane lub dobrowolnie stosowane przez producentów.</w:t>
      </w:r>
    </w:p>
    <w:p w14:paraId="7DCC0759"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p>
    <w:p w14:paraId="1742CE5B" w14:textId="77777777" w:rsidR="00572A86" w:rsidRDefault="007944B8">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budowlane muszą być oznakowane znakiem budowlanym dopuszczenia wyrobu do obrotu i powszechnego stosowania w budownictwie i muszą posiadać informację od producenta zawierającą:</w:t>
      </w:r>
    </w:p>
    <w:p w14:paraId="78F3379F" w14:textId="77777777" w:rsidR="00572A86" w:rsidRDefault="007944B8">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określenie, siedzibę i adres producenta oraz adres zakładu produkującego wyrób budowlany;</w:t>
      </w:r>
    </w:p>
    <w:p w14:paraId="25A9C24E" w14:textId="77777777" w:rsidR="00572A86" w:rsidRDefault="007944B8">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identyfikację wyrobu budowlanego zawierającą: nazwę, nazwę handlową, typ, odmianę, gatunek i klasę według Polskiej Normy wyrobu lub aprobaty technicznej;</w:t>
      </w:r>
    </w:p>
    <w:p w14:paraId="7C8FE168" w14:textId="77777777" w:rsidR="00572A86" w:rsidRDefault="007944B8">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numer i rok publikacji Polskiej Normy wyrobu lub aprobaty technicznej, z którą potwierdzono zgodność wyrobu budowlanego;</w:t>
      </w:r>
    </w:p>
    <w:p w14:paraId="36C74007" w14:textId="77777777" w:rsidR="00572A86" w:rsidRDefault="007944B8">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numer i datę wystawienia krajowej deklaracji zgodności;</w:t>
      </w:r>
    </w:p>
    <w:p w14:paraId="14F02017" w14:textId="77777777" w:rsidR="00572A86" w:rsidRDefault="007944B8">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inne dane, jeżeli wynika to z Polskiej Normy wyrobu lub aprobaty technicznej;</w:t>
      </w:r>
    </w:p>
    <w:p w14:paraId="5B0BDA23" w14:textId="77777777" w:rsidR="00572A86" w:rsidRDefault="007944B8">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nazwę jednostki certyfikującej, jeżeli taka jednostka brała udział w zastosowanym systemie oceny zgodności wyrobu budowlanego.</w:t>
      </w:r>
    </w:p>
    <w:p w14:paraId="70BC4B00" w14:textId="77777777" w:rsidR="00572A86" w:rsidRDefault="007944B8">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ab/>
        <w:t>Wykonawca jest zobowiązany na każde żądanie Zamawiającego przedstawić dokumenty świadczące, że wbudowane materiały są dopuszczone do stosowania w budownictwie zgodnie z art. 10 ustawy Prawo Budowlane.</w:t>
      </w:r>
    </w:p>
    <w:p w14:paraId="02963A7C" w14:textId="77777777" w:rsidR="00572A86" w:rsidRDefault="007944B8">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użyte do odbudowy nawierzchni z odzysku nie podlegają w/w warunkom ale muszą być dopuszczone do wbudowania przez inspektora nadzoru.</w:t>
      </w:r>
    </w:p>
    <w:p w14:paraId="584E67B5"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8" w:name="_heading=h.3rdcrjn" w:colFirst="0" w:colLast="0"/>
      <w:bookmarkEnd w:id="8"/>
    </w:p>
    <w:p w14:paraId="52ED8197"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Woda</w:t>
      </w:r>
    </w:p>
    <w:p w14:paraId="7C9171D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Woda użyta przy wykonywaniu zagęszczania i klinowania podbudowy może być studzienna lub z wodociągu, bez specjalnych wymagań.</w:t>
      </w:r>
    </w:p>
    <w:p w14:paraId="72C94C33" w14:textId="77777777" w:rsidR="00572A86" w:rsidRDefault="00572A86">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9" w:name="_heading=h.26in1rg" w:colFirst="0" w:colLast="0"/>
      <w:bookmarkEnd w:id="9"/>
    </w:p>
    <w:p w14:paraId="2F7D2D8D"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Krawężniki i obrzeża</w:t>
      </w:r>
    </w:p>
    <w:p w14:paraId="704938C9"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Krawężniki stosowane do obramowania nawierzchni powinny odpowiadać wymaganiom zawartym w BN-64 8845-02 lub równoważnej a parametry techniczne krawężników określa norma PN-EN 1340 lub równoważna</w:t>
      </w:r>
    </w:p>
    <w:p w14:paraId="44146A8F"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0" w:name="_heading=h.lnxbz9" w:colFirst="0" w:colLast="0"/>
      <w:bookmarkEnd w:id="10"/>
    </w:p>
    <w:p w14:paraId="5E48CD62"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Betonowa kostka brukowa </w:t>
      </w:r>
    </w:p>
    <w:p w14:paraId="29FC15D9"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Betonowa kostka brukowa powinna mieć następujące cechy charakterystyczne, odmiana kostka jednowarstwowa prostokątna gatunek 1 klasa „50”, o wytrzymałości na ściskanie nie mniejszej niż 50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barwa: czerwona (chodniki), grafitowa (zjazdy), szara (jezdnia). </w:t>
      </w:r>
    </w:p>
    <w:p w14:paraId="46DEF93A" w14:textId="77777777" w:rsidR="00572A86" w:rsidRDefault="00572A86">
      <w:pPr>
        <w:pBdr>
          <w:top w:val="nil"/>
          <w:left w:val="nil"/>
          <w:bottom w:val="nil"/>
          <w:right w:val="nil"/>
          <w:between w:val="nil"/>
        </w:pBdr>
        <w:spacing w:after="120" w:line="240" w:lineRule="auto"/>
        <w:ind w:left="0" w:hanging="2"/>
        <w:jc w:val="both"/>
        <w:rPr>
          <w:rFonts w:ascii="Calibri" w:eastAsia="Calibri" w:hAnsi="Calibri" w:cs="Calibri"/>
          <w:sz w:val="22"/>
          <w:szCs w:val="22"/>
        </w:rPr>
      </w:pPr>
    </w:p>
    <w:p w14:paraId="730C0647" w14:textId="77777777" w:rsidR="00572A86" w:rsidRDefault="007944B8">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Wymagania techniczne, które powinny spełniać kostki brukowe:</w:t>
      </w:r>
    </w:p>
    <w:p w14:paraId="2F59B453" w14:textId="77777777" w:rsidR="00572A86" w:rsidRDefault="007944B8">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kształt i wymiary powinny być zgodne z deklarowanymi przez producenta</w:t>
      </w:r>
    </w:p>
    <w:p w14:paraId="1F67A899" w14:textId="77777777" w:rsidR="00572A86" w:rsidRDefault="007944B8">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wytrzymałość na ściskanie powinna być nie mniejsza niż 50 MP - dla klasy „50”,</w:t>
      </w:r>
    </w:p>
    <w:p w14:paraId="66BBC441" w14:textId="77777777" w:rsidR="00572A86" w:rsidRDefault="007944B8">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mrozoodporność: po 30 cyklach zamrażania i rozmrażania próbek w 3% roztworze NaCl lub 150 cyklach zamrażania i rozmrażania metodą zwykłą, powinny być spełnione jednocześnie następujące warunki:</w:t>
      </w:r>
    </w:p>
    <w:p w14:paraId="4C64E72D" w14:textId="77777777" w:rsidR="00572A86" w:rsidRDefault="007944B8">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próbki nie powinny wykazywać pęknięć i zarysowań powierzchni licowych,</w:t>
      </w:r>
    </w:p>
    <w:p w14:paraId="560582F6" w14:textId="77777777" w:rsidR="00572A86" w:rsidRDefault="007944B8">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łączna masa ubytków betonu w postaci zniszczonych narożników i krawędzi, odprysków kruszywa itp. nie powinna przekraczać 5% masy próbek nie zamrażanych,</w:t>
      </w:r>
    </w:p>
    <w:p w14:paraId="2C7DFA80" w14:textId="77777777" w:rsidR="00572A86" w:rsidRDefault="007944B8">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obniżenie wytrzymałości na ściskanie w stosunku do próbek nie zamrażanych nie powinno być większe niż 20%,</w:t>
      </w:r>
    </w:p>
    <w:p w14:paraId="77FFBFE3" w14:textId="77777777" w:rsidR="00572A86" w:rsidRDefault="007944B8">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nasiąkliwość, nie powinna przekraczać 5%,</w:t>
      </w:r>
    </w:p>
    <w:p w14:paraId="29715AEE" w14:textId="77777777" w:rsidR="00572A86" w:rsidRDefault="007944B8">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1" w:name="_heading=h.35nkun2" w:colFirst="0" w:colLast="0"/>
      <w:bookmarkEnd w:id="11"/>
      <w:r>
        <w:rPr>
          <w:rFonts w:ascii="Calibri" w:eastAsia="Calibri" w:hAnsi="Calibri" w:cs="Calibri"/>
          <w:color w:val="000000"/>
          <w:sz w:val="22"/>
          <w:szCs w:val="22"/>
        </w:rPr>
        <w:t>wygląd zewnętrzny: powierzchnie elementów nie powinny mieć rys, pęknięć i ubytków betonu, krawędzie elementów powinny być równe, a tekstura i kolor powierzchni licowej powinny być jednorodne</w:t>
      </w:r>
    </w:p>
    <w:p w14:paraId="7CBA32DA"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Beton asfaltowy</w:t>
      </w:r>
    </w:p>
    <w:p w14:paraId="0E3DBF99" w14:textId="77777777" w:rsidR="00572A86" w:rsidRDefault="007944B8">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asfalt drogowy spełniający wymagania określone w  </w:t>
      </w:r>
      <w:hyperlink r:id="rId8">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równoważna</w:t>
      </w:r>
    </w:p>
    <w:p w14:paraId="71EC015C" w14:textId="77777777" w:rsidR="00572A86" w:rsidRDefault="007944B8">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Asfalty innego rodzaju można stosować, o ile posiadają aprobatę techniczną są zaakceptowane przez inspektora nadzoru.</w:t>
      </w:r>
    </w:p>
    <w:p w14:paraId="05FD09C8" w14:textId="77777777" w:rsidR="00572A86" w:rsidRDefault="00572A86">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bookmarkStart w:id="12" w:name="_heading=h.1ksv4uv" w:colFirst="0" w:colLast="0"/>
      <w:bookmarkEnd w:id="12"/>
    </w:p>
    <w:p w14:paraId="576CEBBC" w14:textId="77777777" w:rsidR="00572A86" w:rsidRDefault="007944B8">
      <w:pPr>
        <w:keepNext/>
        <w:numPr>
          <w:ilvl w:val="2"/>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Wypełniacz</w:t>
      </w:r>
    </w:p>
    <w:p w14:paraId="089C8057" w14:textId="77777777" w:rsidR="00572A86" w:rsidRDefault="007944B8">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stosować wypełniacz, spełniający wymagania określone w </w:t>
      </w:r>
      <w:r>
        <w:rPr>
          <w:rFonts w:ascii="Calibri" w:eastAsia="Calibri" w:hAnsi="Calibri" w:cs="Calibri"/>
          <w:b/>
          <w:color w:val="FF0000"/>
          <w:sz w:val="22"/>
          <w:szCs w:val="22"/>
        </w:rPr>
        <w:t> </w:t>
      </w:r>
      <w:hyperlink r:id="rId9">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dla wypełniacza podstawowego lub zastępczego lub równoważna.</w:t>
      </w:r>
    </w:p>
    <w:p w14:paraId="76F43270" w14:textId="77777777" w:rsidR="00572A86" w:rsidRDefault="007944B8">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Dopuszcza się stosowanie wypełniacza innego pochodzenia, np. pyłu z odpylania, popiołu lotnego z węgla kamiennego, na podstawie orzeczenia laboratoryjnego i za zgodą Inżyniera.</w:t>
      </w:r>
    </w:p>
    <w:p w14:paraId="113FF2AB" w14:textId="77777777" w:rsidR="00572A86" w:rsidRDefault="007944B8">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Przechowywanie wypełniacza powinno odbywać się zgodnie z  </w:t>
      </w:r>
      <w:hyperlink r:id="rId10">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równoważna.</w:t>
      </w:r>
    </w:p>
    <w:p w14:paraId="5D4D46E3" w14:textId="77777777" w:rsidR="00572A86" w:rsidRDefault="00572A86">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bookmarkStart w:id="13" w:name="_heading=h.44sinio" w:colFirst="0" w:colLast="0"/>
      <w:bookmarkEnd w:id="13"/>
    </w:p>
    <w:p w14:paraId="78A55837" w14:textId="77777777" w:rsidR="00572A86" w:rsidRDefault="007944B8">
      <w:pPr>
        <w:keepNext/>
        <w:numPr>
          <w:ilvl w:val="2"/>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Kruszywo</w:t>
      </w:r>
    </w:p>
    <w:p w14:paraId="7A362971" w14:textId="77777777" w:rsidR="00572A86" w:rsidRDefault="007944B8">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kruszywa spełniające wymagania podane w Tablicy 2. Składowanie kruszywa powinno odbywać się w warunkach zabezpieczających je przed zanieczyszczeniem i zmieszaniem z innymi asortymentami kruszywa lub jego frakcjami.</w:t>
      </w:r>
    </w:p>
    <w:p w14:paraId="0AE0D0CF" w14:textId="77777777" w:rsidR="00572A86" w:rsidRDefault="007944B8">
      <w:pPr>
        <w:pBdr>
          <w:top w:val="nil"/>
          <w:left w:val="nil"/>
          <w:bottom w:val="nil"/>
          <w:right w:val="nil"/>
          <w:between w:val="nil"/>
        </w:pBdr>
        <w:shd w:val="clear" w:color="auto" w:fill="FFFFFF"/>
        <w:spacing w:before="24"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Zaleca się, aby frakcje drobne kruszywa (poniżej 4 mm) byty przechowywane pod zadaszeniem (wiatami). Warunki składowania oraz lokalizacja składowiska powinny być wcześniej uzgodnione z Inspektorem nadzoru. </w:t>
      </w:r>
    </w:p>
    <w:p w14:paraId="6DB7594E" w14:textId="77777777" w:rsidR="00572A86" w:rsidRDefault="00572A86">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2DEA09D0" w14:textId="77777777" w:rsidR="00572A86" w:rsidRDefault="00572A86">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06872970" w14:textId="77777777" w:rsidR="00572A86" w:rsidRDefault="007944B8">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r>
        <w:rPr>
          <w:rFonts w:ascii="Calibri" w:eastAsia="Calibri" w:hAnsi="Calibri" w:cs="Calibri"/>
          <w:b/>
          <w:color w:val="000000"/>
          <w:sz w:val="22"/>
          <w:szCs w:val="22"/>
        </w:rPr>
        <w:t xml:space="preserve">Tablica 2. </w:t>
      </w:r>
      <w:r>
        <w:rPr>
          <w:rFonts w:ascii="Calibri" w:eastAsia="Calibri" w:hAnsi="Calibri" w:cs="Calibri"/>
          <w:color w:val="000000"/>
          <w:sz w:val="22"/>
          <w:szCs w:val="22"/>
        </w:rPr>
        <w:t>Wymagania wobec materiałów do warstwy ścieralnej z asfaltu lanego</w:t>
      </w:r>
    </w:p>
    <w:p w14:paraId="0A4D5BFF" w14:textId="77777777" w:rsidR="00572A86" w:rsidRDefault="00572A86">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tbl>
      <w:tblPr>
        <w:tblStyle w:val="a"/>
        <w:tblW w:w="8693" w:type="dxa"/>
        <w:tblInd w:w="0" w:type="dxa"/>
        <w:tblLayout w:type="fixed"/>
        <w:tblLook w:val="0000" w:firstRow="0" w:lastRow="0" w:firstColumn="0" w:lastColumn="0" w:noHBand="0" w:noVBand="0"/>
      </w:tblPr>
      <w:tblGrid>
        <w:gridCol w:w="642"/>
        <w:gridCol w:w="5500"/>
        <w:gridCol w:w="2551"/>
      </w:tblGrid>
      <w:tr w:rsidR="00572A86" w14:paraId="6B55B857" w14:textId="77777777">
        <w:trPr>
          <w:cantSplit/>
          <w:trHeight w:val="758"/>
        </w:trPr>
        <w:tc>
          <w:tcPr>
            <w:tcW w:w="642" w:type="dxa"/>
            <w:vMerge w:val="restart"/>
            <w:tcBorders>
              <w:top w:val="single" w:sz="4" w:space="0" w:color="000000"/>
              <w:left w:val="single" w:sz="4" w:space="0" w:color="000000"/>
            </w:tcBorders>
            <w:shd w:val="clear" w:color="auto" w:fill="FFFFFF"/>
          </w:tcPr>
          <w:p w14:paraId="54CF02DA"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Lp.</w:t>
            </w:r>
          </w:p>
        </w:tc>
        <w:tc>
          <w:tcPr>
            <w:tcW w:w="5500" w:type="dxa"/>
            <w:vMerge w:val="restart"/>
            <w:tcBorders>
              <w:top w:val="single" w:sz="4" w:space="0" w:color="000000"/>
              <w:left w:val="single" w:sz="4" w:space="0" w:color="000000"/>
            </w:tcBorders>
            <w:shd w:val="clear" w:color="auto" w:fill="FFFFFF"/>
          </w:tcPr>
          <w:p w14:paraId="24AD4E66" w14:textId="77777777" w:rsidR="00572A86" w:rsidRDefault="007944B8">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Rodzaj materiału</w:t>
            </w:r>
          </w:p>
          <w:p w14:paraId="27A5536E" w14:textId="77777777" w:rsidR="00572A86" w:rsidRDefault="007944B8">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Nr normy</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0C7E7B88"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wobec materiałów</w:t>
            </w:r>
          </w:p>
        </w:tc>
      </w:tr>
      <w:tr w:rsidR="00572A86" w14:paraId="63A79961" w14:textId="77777777">
        <w:trPr>
          <w:cantSplit/>
          <w:trHeight w:val="363"/>
        </w:trPr>
        <w:tc>
          <w:tcPr>
            <w:tcW w:w="642" w:type="dxa"/>
            <w:vMerge/>
            <w:tcBorders>
              <w:top w:val="single" w:sz="4" w:space="0" w:color="000000"/>
              <w:left w:val="single" w:sz="4" w:space="0" w:color="000000"/>
            </w:tcBorders>
            <w:shd w:val="clear" w:color="auto" w:fill="FFFFFF"/>
          </w:tcPr>
          <w:p w14:paraId="528DDAB0" w14:textId="77777777" w:rsidR="00572A86" w:rsidRDefault="00572A86">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5500" w:type="dxa"/>
            <w:vMerge/>
            <w:tcBorders>
              <w:top w:val="single" w:sz="4" w:space="0" w:color="000000"/>
              <w:left w:val="single" w:sz="4" w:space="0" w:color="000000"/>
            </w:tcBorders>
            <w:shd w:val="clear" w:color="auto" w:fill="FFFFFF"/>
          </w:tcPr>
          <w:p w14:paraId="270B8029" w14:textId="77777777" w:rsidR="00572A86" w:rsidRDefault="00572A86">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F405FC9"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 1 lub KR 2</w:t>
            </w:r>
          </w:p>
        </w:tc>
      </w:tr>
      <w:tr w:rsidR="00572A86" w14:paraId="5B72E07E" w14:textId="77777777">
        <w:trPr>
          <w:trHeight w:val="1547"/>
        </w:trPr>
        <w:tc>
          <w:tcPr>
            <w:tcW w:w="642" w:type="dxa"/>
            <w:tcBorders>
              <w:top w:val="single" w:sz="4" w:space="0" w:color="000000"/>
              <w:left w:val="single" w:sz="4" w:space="0" w:color="000000"/>
              <w:bottom w:val="single" w:sz="4" w:space="0" w:color="000000"/>
            </w:tcBorders>
            <w:shd w:val="clear" w:color="auto" w:fill="FFFFFF"/>
          </w:tcPr>
          <w:p w14:paraId="2FB405B7"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w:t>
            </w:r>
          </w:p>
        </w:tc>
        <w:tc>
          <w:tcPr>
            <w:tcW w:w="5500" w:type="dxa"/>
            <w:tcBorders>
              <w:top w:val="single" w:sz="4" w:space="0" w:color="000000"/>
              <w:left w:val="single" w:sz="4" w:space="0" w:color="000000"/>
              <w:bottom w:val="single" w:sz="4" w:space="0" w:color="000000"/>
            </w:tcBorders>
            <w:shd w:val="clear" w:color="auto" w:fill="FFFFFF"/>
          </w:tcPr>
          <w:p w14:paraId="284C1167"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Kruszywo łamane granulowane wg PN-EN 13043:2004, PN-EN 13043:2004 lub równoważne</w:t>
            </w:r>
          </w:p>
          <w:p w14:paraId="094460AE"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 ze skał magmowych i przeobrażonych b) ze skał osadowych c) z surowca  sztucznego  (żużle pomiedziowe i stalownicze)</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F3DB8E6" w14:textId="77777777" w:rsidR="00572A86" w:rsidRDefault="007944B8">
            <w:pPr>
              <w:pBdr>
                <w:top w:val="nil"/>
                <w:left w:val="nil"/>
                <w:bottom w:val="nil"/>
                <w:right w:val="nil"/>
                <w:between w:val="nil"/>
              </w:pBdr>
              <w:shd w:val="clear" w:color="auto" w:fill="FFFFFF"/>
              <w:spacing w:line="240" w:lineRule="auto"/>
              <w:ind w:left="0" w:right="802"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 jw.</w:t>
            </w:r>
          </w:p>
          <w:p w14:paraId="1DEB0030"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jw.</w:t>
            </w:r>
          </w:p>
        </w:tc>
      </w:tr>
      <w:tr w:rsidR="00572A86" w14:paraId="7E69B4F6" w14:textId="77777777">
        <w:trPr>
          <w:trHeight w:val="695"/>
        </w:trPr>
        <w:tc>
          <w:tcPr>
            <w:tcW w:w="642" w:type="dxa"/>
            <w:tcBorders>
              <w:top w:val="single" w:sz="4" w:space="0" w:color="000000"/>
              <w:left w:val="single" w:sz="4" w:space="0" w:color="000000"/>
              <w:bottom w:val="single" w:sz="4" w:space="0" w:color="000000"/>
            </w:tcBorders>
            <w:shd w:val="clear" w:color="auto" w:fill="FFFFFF"/>
          </w:tcPr>
          <w:p w14:paraId="611B1E4F"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p>
        </w:tc>
        <w:tc>
          <w:tcPr>
            <w:tcW w:w="5500" w:type="dxa"/>
            <w:tcBorders>
              <w:top w:val="single" w:sz="4" w:space="0" w:color="000000"/>
              <w:left w:val="single" w:sz="4" w:space="0" w:color="000000"/>
              <w:bottom w:val="single" w:sz="4" w:space="0" w:color="000000"/>
            </w:tcBorders>
            <w:shd w:val="clear" w:color="auto" w:fill="FFFFFF"/>
          </w:tcPr>
          <w:p w14:paraId="6866A30D" w14:textId="77777777" w:rsidR="00572A86" w:rsidRDefault="007944B8">
            <w:pPr>
              <w:pBdr>
                <w:top w:val="nil"/>
                <w:left w:val="nil"/>
                <w:bottom w:val="nil"/>
                <w:right w:val="nil"/>
                <w:between w:val="nil"/>
              </w:pBdr>
              <w:shd w:val="clear" w:color="auto" w:fill="FFFFFF"/>
              <w:spacing w:line="240" w:lineRule="auto"/>
              <w:ind w:left="0" w:right="1565" w:hanging="2"/>
              <w:rPr>
                <w:rFonts w:ascii="Calibri" w:eastAsia="Calibri" w:hAnsi="Calibri" w:cs="Calibri"/>
                <w:color w:val="000000"/>
                <w:sz w:val="22"/>
                <w:szCs w:val="22"/>
              </w:rPr>
            </w:pPr>
            <w:r>
              <w:rPr>
                <w:rFonts w:ascii="Calibri" w:eastAsia="Calibri" w:hAnsi="Calibri" w:cs="Calibri"/>
                <w:color w:val="000000"/>
                <w:sz w:val="22"/>
                <w:szCs w:val="22"/>
              </w:rPr>
              <w:t>Kruszywo łamane zwykłe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48A0835"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572A86" w14:paraId="1EA99F8F" w14:textId="77777777">
        <w:trPr>
          <w:trHeight w:val="647"/>
        </w:trPr>
        <w:tc>
          <w:tcPr>
            <w:tcW w:w="642" w:type="dxa"/>
            <w:tcBorders>
              <w:top w:val="single" w:sz="4" w:space="0" w:color="000000"/>
              <w:left w:val="single" w:sz="4" w:space="0" w:color="000000"/>
              <w:bottom w:val="single" w:sz="4" w:space="0" w:color="000000"/>
            </w:tcBorders>
            <w:shd w:val="clear" w:color="auto" w:fill="FFFFFF"/>
          </w:tcPr>
          <w:p w14:paraId="38504E29"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p>
        </w:tc>
        <w:tc>
          <w:tcPr>
            <w:tcW w:w="5500" w:type="dxa"/>
            <w:tcBorders>
              <w:top w:val="single" w:sz="4" w:space="0" w:color="000000"/>
              <w:left w:val="single" w:sz="4" w:space="0" w:color="000000"/>
              <w:bottom w:val="single" w:sz="4" w:space="0" w:color="000000"/>
            </w:tcBorders>
            <w:shd w:val="clear" w:color="auto" w:fill="FFFFFF"/>
          </w:tcPr>
          <w:p w14:paraId="7BD33A0E" w14:textId="77777777" w:rsidR="00572A86" w:rsidRDefault="007944B8">
            <w:pPr>
              <w:pBdr>
                <w:top w:val="nil"/>
                <w:left w:val="nil"/>
                <w:bottom w:val="nil"/>
                <w:right w:val="nil"/>
                <w:between w:val="nil"/>
              </w:pBdr>
              <w:shd w:val="clear" w:color="auto" w:fill="FFFFFF"/>
              <w:spacing w:line="240" w:lineRule="auto"/>
              <w:ind w:left="0" w:right="1728" w:hanging="2"/>
              <w:rPr>
                <w:rFonts w:ascii="Calibri" w:eastAsia="Calibri" w:hAnsi="Calibri" w:cs="Calibri"/>
                <w:color w:val="000000"/>
                <w:sz w:val="22"/>
                <w:szCs w:val="22"/>
              </w:rPr>
            </w:pPr>
            <w:r>
              <w:rPr>
                <w:rFonts w:ascii="Calibri" w:eastAsia="Calibri" w:hAnsi="Calibri" w:cs="Calibri"/>
                <w:color w:val="000000"/>
                <w:sz w:val="22"/>
                <w:szCs w:val="22"/>
              </w:rPr>
              <w:t>Żwir i mieszanka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1673002"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II</w:t>
            </w:r>
          </w:p>
        </w:tc>
      </w:tr>
      <w:tr w:rsidR="00572A86" w14:paraId="35B39660" w14:textId="77777777">
        <w:trPr>
          <w:trHeight w:val="679"/>
        </w:trPr>
        <w:tc>
          <w:tcPr>
            <w:tcW w:w="642" w:type="dxa"/>
            <w:tcBorders>
              <w:top w:val="single" w:sz="4" w:space="0" w:color="000000"/>
              <w:left w:val="single" w:sz="4" w:space="0" w:color="000000"/>
              <w:bottom w:val="single" w:sz="4" w:space="0" w:color="000000"/>
            </w:tcBorders>
            <w:shd w:val="clear" w:color="auto" w:fill="FFFFFF"/>
          </w:tcPr>
          <w:p w14:paraId="6C5AFAE7"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p>
        </w:tc>
        <w:tc>
          <w:tcPr>
            <w:tcW w:w="5500" w:type="dxa"/>
            <w:tcBorders>
              <w:top w:val="single" w:sz="4" w:space="0" w:color="000000"/>
              <w:left w:val="single" w:sz="4" w:space="0" w:color="000000"/>
              <w:bottom w:val="single" w:sz="4" w:space="0" w:color="000000"/>
            </w:tcBorders>
            <w:shd w:val="clear" w:color="auto" w:fill="FFFFFF"/>
          </w:tcPr>
          <w:p w14:paraId="79585478"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Grys i żwir kruszony z naturalnie rozdrobnionego surowca skalnego wg WT/MK-CZDP 84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CAD76CE"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572A86" w14:paraId="032E8F77" w14:textId="77777777">
        <w:trPr>
          <w:trHeight w:val="521"/>
        </w:trPr>
        <w:tc>
          <w:tcPr>
            <w:tcW w:w="642" w:type="dxa"/>
            <w:tcBorders>
              <w:top w:val="single" w:sz="4" w:space="0" w:color="000000"/>
              <w:left w:val="single" w:sz="4" w:space="0" w:color="000000"/>
              <w:bottom w:val="single" w:sz="4" w:space="0" w:color="000000"/>
            </w:tcBorders>
            <w:shd w:val="clear" w:color="auto" w:fill="FFFFFF"/>
          </w:tcPr>
          <w:p w14:paraId="459CBD09"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p>
        </w:tc>
        <w:tc>
          <w:tcPr>
            <w:tcW w:w="5500" w:type="dxa"/>
            <w:tcBorders>
              <w:top w:val="single" w:sz="4" w:space="0" w:color="000000"/>
              <w:left w:val="single" w:sz="4" w:space="0" w:color="000000"/>
              <w:bottom w:val="single" w:sz="4" w:space="0" w:color="000000"/>
            </w:tcBorders>
            <w:shd w:val="clear" w:color="auto" w:fill="FFFFFF"/>
          </w:tcPr>
          <w:p w14:paraId="290CEC25"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Piasek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FCC142A"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_gat. 1,2</w:t>
            </w:r>
          </w:p>
        </w:tc>
      </w:tr>
      <w:tr w:rsidR="00572A86" w14:paraId="358EB089" w14:textId="77777777">
        <w:trPr>
          <w:trHeight w:val="1195"/>
        </w:trPr>
        <w:tc>
          <w:tcPr>
            <w:tcW w:w="642" w:type="dxa"/>
            <w:tcBorders>
              <w:top w:val="single" w:sz="4" w:space="0" w:color="000000"/>
              <w:left w:val="single" w:sz="4" w:space="0" w:color="000000"/>
              <w:bottom w:val="single" w:sz="4" w:space="0" w:color="000000"/>
            </w:tcBorders>
            <w:shd w:val="clear" w:color="auto" w:fill="FFFFFF"/>
          </w:tcPr>
          <w:p w14:paraId="2C42739E"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p>
        </w:tc>
        <w:tc>
          <w:tcPr>
            <w:tcW w:w="5500" w:type="dxa"/>
            <w:tcBorders>
              <w:top w:val="single" w:sz="4" w:space="0" w:color="000000"/>
              <w:left w:val="single" w:sz="4" w:space="0" w:color="000000"/>
              <w:bottom w:val="single" w:sz="4" w:space="0" w:color="000000"/>
            </w:tcBorders>
            <w:shd w:val="clear" w:color="auto" w:fill="FFFFFF"/>
          </w:tcPr>
          <w:p w14:paraId="0C5A2E66"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Wypełniacz mineralny: a)wg  </w:t>
            </w:r>
            <w:hyperlink r:id="rId11">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równoważnej b) innego pochodzenia wg orzeczenia laboratoryjnego</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AB2B9CC" w14:textId="77777777" w:rsidR="00572A86" w:rsidRDefault="007944B8">
            <w:pPr>
              <w:pBdr>
                <w:top w:val="nil"/>
                <w:left w:val="nil"/>
                <w:bottom w:val="nil"/>
                <w:right w:val="nil"/>
                <w:between w:val="nil"/>
              </w:pBdr>
              <w:shd w:val="clear" w:color="auto" w:fill="FFFFFF"/>
              <w:spacing w:line="240" w:lineRule="auto"/>
              <w:ind w:left="0" w:right="384" w:hanging="2"/>
              <w:jc w:val="center"/>
              <w:rPr>
                <w:rFonts w:ascii="Calibri" w:eastAsia="Calibri" w:hAnsi="Calibri" w:cs="Calibri"/>
                <w:color w:val="000000"/>
                <w:sz w:val="22"/>
                <w:szCs w:val="22"/>
              </w:rPr>
            </w:pPr>
            <w:r>
              <w:rPr>
                <w:rFonts w:ascii="Calibri" w:eastAsia="Calibri" w:hAnsi="Calibri" w:cs="Calibri"/>
                <w:color w:val="000000"/>
                <w:sz w:val="22"/>
                <w:szCs w:val="22"/>
              </w:rPr>
              <w:t>podstawowy, zastępczy pyły z odpylania, popioły lotne</w:t>
            </w:r>
          </w:p>
        </w:tc>
      </w:tr>
      <w:tr w:rsidR="00572A86" w14:paraId="0262C70B" w14:textId="77777777">
        <w:trPr>
          <w:trHeight w:val="870"/>
        </w:trPr>
        <w:tc>
          <w:tcPr>
            <w:tcW w:w="642" w:type="dxa"/>
            <w:tcBorders>
              <w:top w:val="single" w:sz="4" w:space="0" w:color="000000"/>
              <w:left w:val="single" w:sz="4" w:space="0" w:color="000000"/>
              <w:bottom w:val="single" w:sz="4" w:space="0" w:color="000000"/>
            </w:tcBorders>
            <w:shd w:val="clear" w:color="auto" w:fill="FFFFFF"/>
          </w:tcPr>
          <w:p w14:paraId="3E174120"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p>
        </w:tc>
        <w:tc>
          <w:tcPr>
            <w:tcW w:w="5500" w:type="dxa"/>
            <w:tcBorders>
              <w:top w:val="single" w:sz="4" w:space="0" w:color="000000"/>
              <w:left w:val="single" w:sz="4" w:space="0" w:color="000000"/>
              <w:bottom w:val="single" w:sz="4" w:space="0" w:color="000000"/>
            </w:tcBorders>
            <w:shd w:val="clear" w:color="auto" w:fill="FFFFFF"/>
          </w:tcPr>
          <w:p w14:paraId="1D2A3BCC"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Asfalt drogowy wg </w:t>
            </w:r>
            <w:r>
              <w:rPr>
                <w:rFonts w:ascii="Calibri" w:eastAsia="Calibri" w:hAnsi="Calibri" w:cs="Calibri"/>
                <w:b/>
                <w:color w:val="FF0000"/>
                <w:sz w:val="22"/>
                <w:szCs w:val="22"/>
              </w:rPr>
              <w:t> </w:t>
            </w:r>
            <w:hyperlink r:id="rId12">
              <w:r>
                <w:rPr>
                  <w:rFonts w:ascii="Calibri" w:eastAsia="Calibri" w:hAnsi="Calibri" w:cs="Calibri"/>
                  <w:color w:val="000000"/>
                  <w:sz w:val="22"/>
                  <w:szCs w:val="22"/>
                  <w:u w:val="single"/>
                </w:rPr>
                <w:t>PN-C -96170:1965</w:t>
              </w:r>
            </w:hyperlink>
            <w:r>
              <w:rPr>
                <w:rFonts w:ascii="Calibri" w:eastAsia="Calibri" w:hAnsi="Calibri" w:cs="Calibri"/>
                <w:color w:val="000000"/>
                <w:sz w:val="22"/>
                <w:szCs w:val="22"/>
              </w:rPr>
              <w:t>,  </w:t>
            </w:r>
            <w:hyperlink r:id="rId13">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7844CC69"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D20, D35, D50,</w:t>
            </w:r>
          </w:p>
        </w:tc>
      </w:tr>
      <w:tr w:rsidR="00572A86" w14:paraId="7002E06A" w14:textId="77777777">
        <w:trPr>
          <w:trHeight w:val="891"/>
        </w:trPr>
        <w:tc>
          <w:tcPr>
            <w:tcW w:w="642" w:type="dxa"/>
            <w:tcBorders>
              <w:top w:val="single" w:sz="4" w:space="0" w:color="000000"/>
              <w:left w:val="single" w:sz="4" w:space="0" w:color="000000"/>
              <w:bottom w:val="single" w:sz="4" w:space="0" w:color="000000"/>
            </w:tcBorders>
            <w:shd w:val="clear" w:color="auto" w:fill="FFFFFF"/>
          </w:tcPr>
          <w:p w14:paraId="227A9DE1"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p>
        </w:tc>
        <w:tc>
          <w:tcPr>
            <w:tcW w:w="5500" w:type="dxa"/>
            <w:tcBorders>
              <w:top w:val="single" w:sz="4" w:space="0" w:color="000000"/>
              <w:left w:val="single" w:sz="4" w:space="0" w:color="000000"/>
              <w:bottom w:val="single" w:sz="4" w:space="0" w:color="000000"/>
            </w:tcBorders>
            <w:shd w:val="clear" w:color="auto" w:fill="FFFFFF"/>
          </w:tcPr>
          <w:p w14:paraId="55079303" w14:textId="77777777" w:rsidR="00572A86" w:rsidRDefault="007944B8">
            <w:pPr>
              <w:pBdr>
                <w:top w:val="nil"/>
                <w:left w:val="nil"/>
                <w:bottom w:val="nil"/>
                <w:right w:val="nil"/>
                <w:between w:val="nil"/>
              </w:pBdr>
              <w:shd w:val="clear" w:color="auto" w:fill="FFFFFF"/>
              <w:spacing w:line="240" w:lineRule="auto"/>
              <w:ind w:left="0" w:right="1032" w:hanging="2"/>
              <w:rPr>
                <w:rFonts w:ascii="Calibri" w:eastAsia="Calibri" w:hAnsi="Calibri" w:cs="Calibri"/>
                <w:color w:val="000000"/>
                <w:sz w:val="22"/>
                <w:szCs w:val="22"/>
              </w:rPr>
            </w:pPr>
            <w:proofErr w:type="spellStart"/>
            <w:r>
              <w:rPr>
                <w:rFonts w:ascii="Calibri" w:eastAsia="Calibri" w:hAnsi="Calibri" w:cs="Calibri"/>
                <w:color w:val="000000"/>
                <w:sz w:val="22"/>
                <w:szCs w:val="22"/>
              </w:rPr>
              <w:t>Polimeroasfalt</w:t>
            </w:r>
            <w:proofErr w:type="spellEnd"/>
            <w:r>
              <w:rPr>
                <w:rFonts w:ascii="Calibri" w:eastAsia="Calibri" w:hAnsi="Calibri" w:cs="Calibri"/>
                <w:color w:val="000000"/>
                <w:sz w:val="22"/>
                <w:szCs w:val="22"/>
              </w:rPr>
              <w:t xml:space="preserve"> drogowy wg TWT-PAD-97, </w:t>
            </w:r>
            <w:proofErr w:type="spellStart"/>
            <w:r>
              <w:rPr>
                <w:rFonts w:ascii="Calibri" w:eastAsia="Calibri" w:hAnsi="Calibri" w:cs="Calibri"/>
                <w:color w:val="000000"/>
                <w:sz w:val="22"/>
                <w:szCs w:val="22"/>
              </w:rPr>
              <w:t>IBDiM</w:t>
            </w:r>
            <w:proofErr w:type="spellEnd"/>
            <w:r>
              <w:rPr>
                <w:rFonts w:ascii="Calibri" w:eastAsia="Calibri" w:hAnsi="Calibri" w:cs="Calibri"/>
                <w:color w:val="000000"/>
                <w:sz w:val="22"/>
                <w:szCs w:val="22"/>
              </w:rPr>
              <w:t xml:space="preserve"> 54/93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E9FB581" w14:textId="77777777" w:rsidR="00572A86" w:rsidRDefault="007944B8">
            <w:pPr>
              <w:pBdr>
                <w:top w:val="nil"/>
                <w:left w:val="nil"/>
                <w:bottom w:val="nil"/>
                <w:right w:val="nil"/>
                <w:between w:val="nil"/>
              </w:pBdr>
              <w:shd w:val="clear" w:color="auto" w:fill="FFFFFF"/>
              <w:spacing w:line="240" w:lineRule="auto"/>
              <w:ind w:left="0" w:right="725" w:hanging="2"/>
              <w:jc w:val="center"/>
              <w:rPr>
                <w:rFonts w:ascii="Calibri" w:eastAsia="Calibri" w:hAnsi="Calibri" w:cs="Calibri"/>
                <w:color w:val="000000"/>
                <w:sz w:val="22"/>
                <w:szCs w:val="22"/>
              </w:rPr>
            </w:pPr>
            <w:r>
              <w:rPr>
                <w:rFonts w:ascii="Calibri" w:eastAsia="Calibri" w:hAnsi="Calibri" w:cs="Calibri"/>
                <w:color w:val="000000"/>
                <w:sz w:val="22"/>
                <w:szCs w:val="22"/>
              </w:rPr>
              <w:t>DESO  A, B, C, DP30</w:t>
            </w:r>
          </w:p>
        </w:tc>
      </w:tr>
    </w:tbl>
    <w:p w14:paraId="39683872"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14" w:name="_heading=h.2jxsxqh" w:colFirst="0" w:colLast="0"/>
      <w:bookmarkEnd w:id="14"/>
      <w:r>
        <w:rPr>
          <w:rFonts w:ascii="Calibri" w:eastAsia="Calibri" w:hAnsi="Calibri" w:cs="Calibri"/>
          <w:b/>
          <w:color w:val="000000"/>
          <w:sz w:val="22"/>
          <w:szCs w:val="22"/>
        </w:rPr>
        <w:t>Materiały na podsypkę i do wypełnienia spoin oraz szczelin w nawierzchni</w:t>
      </w:r>
    </w:p>
    <w:p w14:paraId="6E4A43A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następujące materiały:</w:t>
      </w:r>
    </w:p>
    <w:p w14:paraId="3212607E" w14:textId="77777777" w:rsidR="00572A86" w:rsidRDefault="007944B8">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podsypkę cementowo-piaskową pod nawierzchnię mieszankę cementu i piasku w stosunku 1:4 z piasku naturalnego spełniającego wymagania dla gatunku 1 wg  </w:t>
      </w:r>
      <w:hyperlink r:id="rId14">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cementu powszechnego użytku spełniającego wymagania  </w:t>
      </w:r>
      <w:hyperlink r:id="rId15">
        <w:r>
          <w:rPr>
            <w:rFonts w:ascii="Calibri" w:eastAsia="Calibri" w:hAnsi="Calibri" w:cs="Calibri"/>
            <w:color w:val="000000"/>
            <w:sz w:val="22"/>
            <w:szCs w:val="22"/>
            <w:u w:val="single"/>
          </w:rPr>
          <w:t>PN-EN 197-1:2002 </w:t>
        </w:r>
      </w:hyperlink>
      <w:r>
        <w:rPr>
          <w:rFonts w:ascii="Calibri" w:eastAsia="Calibri" w:hAnsi="Calibri" w:cs="Calibri"/>
          <w:color w:val="000000"/>
          <w:sz w:val="22"/>
          <w:szCs w:val="22"/>
        </w:rPr>
        <w:t xml:space="preserve"> i wody odmiany 1 odpowiadającej wymaganiom </w:t>
      </w:r>
      <w:hyperlink r:id="rId16">
        <w:r>
          <w:rPr>
            <w:rFonts w:ascii="Calibri" w:eastAsia="Calibri" w:hAnsi="Calibri" w:cs="Calibri"/>
            <w:color w:val="000000"/>
            <w:sz w:val="22"/>
            <w:szCs w:val="22"/>
            <w:u w:val="single"/>
          </w:rPr>
          <w:t>PN-EN 1008:2004</w:t>
        </w:r>
      </w:hyperlink>
      <w:r>
        <w:rPr>
          <w:rFonts w:ascii="Calibri" w:eastAsia="Calibri" w:hAnsi="Calibri" w:cs="Calibri"/>
          <w:color w:val="000000"/>
          <w:sz w:val="22"/>
          <w:szCs w:val="22"/>
        </w:rPr>
        <w:t xml:space="preserve">   lub równoważne</w:t>
      </w:r>
    </w:p>
    <w:p w14:paraId="060CA150" w14:textId="77777777" w:rsidR="00572A86" w:rsidRDefault="007944B8">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wypełniania spoin w nawierzchni na podsypce cementowo-piaskowej piasek naturalny spełniający wymagania </w:t>
      </w:r>
      <w:hyperlink r:id="rId17">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gatunku 2 lub równoważne.</w:t>
      </w:r>
    </w:p>
    <w:p w14:paraId="2D951DE1"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CA813D5"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5" w:name="_heading=h.z337ya" w:colFirst="0" w:colLast="0"/>
      <w:bookmarkEnd w:id="15"/>
    </w:p>
    <w:p w14:paraId="670DBD13" w14:textId="77777777" w:rsidR="00572A86" w:rsidRDefault="007944B8">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SPRZĘTU I MASZYN</w:t>
      </w:r>
    </w:p>
    <w:p w14:paraId="151B74EC"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9612E3E"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i maszyn zostały zawarte w ST tom I pkt. 14.</w:t>
      </w:r>
    </w:p>
    <w:p w14:paraId="0037D652"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925BA70" w14:textId="77777777" w:rsidR="00572A86" w:rsidRDefault="007944B8">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używania jedynie takiego sprzętu, który nie spowoduje niekorzystnego wpływu na jakość wykonywanych robót. </w:t>
      </w:r>
    </w:p>
    <w:p w14:paraId="376E52CD" w14:textId="77777777" w:rsidR="00572A86" w:rsidRDefault="007944B8">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używany do robót powinien być zgodny z ofertą Wykonawcy i powinien odpowiadać pod względem typów wskazaniom zawartym w specyfikacji technicznej wykonania i odbioru robót, programie zapewnienia jakości lub projekcie organizacji robót, zaakceptowanym przez Inspektora nadzoru. </w:t>
      </w:r>
    </w:p>
    <w:p w14:paraId="1E6B4AEE" w14:textId="77777777" w:rsidR="00572A86" w:rsidRDefault="007944B8">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w:t>
      </w:r>
    </w:p>
    <w:p w14:paraId="152658BE" w14:textId="77777777" w:rsidR="00572A86" w:rsidRDefault="007944B8">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użyty w trakcie realizacji robót objętych specyfikacją powinien spełniać wymagania obowiązujące w budownictwie, powinien być sprawny, spełniać wymagania bhp oraz posiadać instrukcję obsługi. Osoby obsługujące sprzęt powinny być odpowiednio przeszkolone. </w:t>
      </w:r>
    </w:p>
    <w:p w14:paraId="7B27210D" w14:textId="77777777" w:rsidR="00572A86" w:rsidRDefault="007944B8">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powinien podlegać kontroli osoby odpowiedzialnej za bhp na budowie. </w:t>
      </w:r>
    </w:p>
    <w:p w14:paraId="272BDA1F" w14:textId="77777777" w:rsidR="00572A86" w:rsidRDefault="007944B8">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Jeżeli dokumentacja projektowa lub warunki umowy przewidują możliwość wariantowego użycia sprzętu przy wykonywanych robotach, wykonawca powiadomi inspektora nadzoru i uzyska jego akceptację przed użyciem sprzętu. </w:t>
      </w:r>
    </w:p>
    <w:p w14:paraId="585BAE67" w14:textId="77777777" w:rsidR="00572A86" w:rsidRDefault="007944B8">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Wybrany sprzęt, po akceptacji Inspektora Nadzoru, nie może być później zmieniany bez jego zgody. </w:t>
      </w:r>
    </w:p>
    <w:p w14:paraId="503E88C6" w14:textId="77777777" w:rsidR="00572A86" w:rsidRDefault="007944B8">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Jakikolwiek sprzęt, maszyny, urządzenia i narzędzia nie gwarantujące zachowania warunków umowy, zostaną przez Inspektora Nadzoru zdyskwalifikowane i nie dopuszczone do robót.</w:t>
      </w:r>
    </w:p>
    <w:p w14:paraId="0A11E83A"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C06B9CE"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6" w:name="_heading=h.3j2qqm3" w:colFirst="0" w:colLast="0"/>
      <w:bookmarkEnd w:id="16"/>
    </w:p>
    <w:p w14:paraId="591311A4" w14:textId="77777777" w:rsidR="00572A86" w:rsidRDefault="007944B8">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ŚRODKÓW TRANSPORTU</w:t>
      </w:r>
    </w:p>
    <w:p w14:paraId="4B989985"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8464E18"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środków transportu zostały zawarte w ST tom I pkt. 15.</w:t>
      </w:r>
    </w:p>
    <w:p w14:paraId="7C2ED332" w14:textId="77777777" w:rsidR="00572A86" w:rsidRDefault="00572A86">
      <w:pPr>
        <w:pBdr>
          <w:top w:val="nil"/>
          <w:left w:val="nil"/>
          <w:bottom w:val="nil"/>
          <w:right w:val="nil"/>
          <w:between w:val="nil"/>
        </w:pBdr>
        <w:tabs>
          <w:tab w:val="left" w:pos="0"/>
          <w:tab w:val="left" w:pos="6946"/>
        </w:tabs>
        <w:spacing w:line="240" w:lineRule="auto"/>
        <w:ind w:left="0" w:hanging="2"/>
        <w:jc w:val="both"/>
        <w:rPr>
          <w:rFonts w:ascii="Calibri" w:eastAsia="Calibri" w:hAnsi="Calibri" w:cs="Calibri"/>
          <w:color w:val="000000"/>
          <w:sz w:val="22"/>
          <w:szCs w:val="22"/>
        </w:rPr>
      </w:pPr>
    </w:p>
    <w:p w14:paraId="2B691542" w14:textId="77777777" w:rsidR="00572A86" w:rsidRDefault="007944B8">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Materiały powinny być przewożone środkami transportu kołowego – samochodem skrzyniowym, wywrotką i samochodem dostawczym w sposób zapewniający uniknięcie uszkodzeń podczas transportu. </w:t>
      </w:r>
    </w:p>
    <w:p w14:paraId="7961549F" w14:textId="77777777" w:rsidR="00572A86" w:rsidRDefault="007944B8">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Środki transportowe muszą być w pełni sprawne. Podczas transportu należy przestrzegać przepisów bhp przy robotach transportowych.</w:t>
      </w:r>
    </w:p>
    <w:p w14:paraId="25F85B30" w14:textId="77777777" w:rsidR="00572A86" w:rsidRDefault="007944B8">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Obowiązkiem wykonawcy jest pozyskanie wymaganych prawem zezwoleń na poruszanie się środkami transportu po terenie m.st. Warszawy.</w:t>
      </w:r>
    </w:p>
    <w:p w14:paraId="43CF0AFE" w14:textId="77777777" w:rsidR="00572A86" w:rsidRDefault="007944B8">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Kostki betonowe, trylinka </w:t>
      </w:r>
      <w:r>
        <w:rPr>
          <w:rFonts w:ascii="Calibri" w:eastAsia="Calibri" w:hAnsi="Calibri" w:cs="Calibri"/>
          <w:color w:val="000000"/>
          <w:sz w:val="22"/>
          <w:szCs w:val="22"/>
        </w:rPr>
        <w:t>mogą być przewożone w paletach samochodami skrzyniowymi po osiągnięciu przez beton wytrzymałości na ściskanie, co najmniej, 15MPa. Kostki betonowe w czasie transportu powinny być zabezpieczone przed przemieszczaniem się i kostek.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14:paraId="78E581D8" w14:textId="77777777" w:rsidR="00572A86" w:rsidRDefault="007944B8">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Kostki kamienne </w:t>
      </w:r>
      <w:r>
        <w:rPr>
          <w:rFonts w:ascii="Calibri" w:eastAsia="Calibri" w:hAnsi="Calibri" w:cs="Calibri"/>
          <w:color w:val="000000"/>
          <w:sz w:val="22"/>
          <w:szCs w:val="22"/>
        </w:rPr>
        <w:t>powinny być przewożone w paletach. Palety powinny być spinane taśmami stalowymi lub plastikowymi Na jednej palecie zaleca się układać do 10 warstw tak, aby masa palety z kostkami wynosiła od 1200 do 1700 kg. Pożądane jest, aby palety z kostkami były wysyłane do odbiorcy środkiem transportu samochodowego wyposażonym w dźwig do załadunku i rozładunku.</w:t>
      </w:r>
    </w:p>
    <w:p w14:paraId="17B337ED" w14:textId="77777777" w:rsidR="00572A86" w:rsidRDefault="007944B8">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Krawężniki i obrzeża</w:t>
      </w:r>
      <w:r>
        <w:rPr>
          <w:rFonts w:ascii="Calibri" w:eastAsia="Calibri" w:hAnsi="Calibri" w:cs="Calibri"/>
          <w:color w:val="000000"/>
          <w:sz w:val="22"/>
          <w:szCs w:val="22"/>
        </w:rPr>
        <w:t xml:space="preserve"> mogą być przewożone dowolnymi środkami transportowymi. Krawężniki betonowe, obrzeża i przepusty układać należy na podkładach drewnianych w kierunku jazdy. Powinny być zabezpieczone w sposób trwały przed przemieszczaniem się i uszkodzeniem w czasie transportu. </w:t>
      </w:r>
    </w:p>
    <w:p w14:paraId="51754DB2" w14:textId="77777777" w:rsidR="00572A86" w:rsidRDefault="007944B8">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Beton asfaltowy</w:t>
      </w:r>
      <w:r>
        <w:rPr>
          <w:rFonts w:ascii="Calibri" w:eastAsia="Calibri" w:hAnsi="Calibri" w:cs="Calibri"/>
          <w:color w:val="000000"/>
          <w:sz w:val="22"/>
          <w:szCs w:val="22"/>
        </w:rPr>
        <w:t xml:space="preserve"> należy przewozić pojazdami samowyładowczymi wyposażonymi w pokrowce brezentowe. W czasie transportu mieszanka powinna być przykryta pokrowcem. Czas transportu od załadunku do rozładunku nie powinien przekraczać 2 godzin z jednoczesnym spełnieniem warunku zachowania temperatury wbudowania. Zaleca się stosowanie samochodów termosów z podwójnymi ścianami skrzyni wyposażonej w system ogrzewczy.</w:t>
      </w:r>
    </w:p>
    <w:p w14:paraId="1C329443" w14:textId="77777777" w:rsidR="00572A86" w:rsidRDefault="007944B8">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Kruszywa</w:t>
      </w:r>
      <w:r>
        <w:rPr>
          <w:rFonts w:ascii="Calibri" w:eastAsia="Calibri" w:hAnsi="Calibri" w:cs="Calibri"/>
          <w:color w:val="000000"/>
          <w:sz w:val="22"/>
          <w:szCs w:val="22"/>
        </w:rPr>
        <w:t xml:space="preserve"> można przewozić dowolnym środkiem transportu, w warunkach zabezpieczających je przed zanieczyszczeniem i zmieszaniem z innymi materiałami. Podczas transportu kruszywa powinny być zabezpieczone przed wysypaniem się, a kruszywo drobne przed zapyleniem. </w:t>
      </w:r>
    </w:p>
    <w:p w14:paraId="5B6E85B6"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3A0C79E0"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7" w:name="_heading=h.1y810tw" w:colFirst="0" w:colLast="0"/>
      <w:bookmarkEnd w:id="17"/>
    </w:p>
    <w:p w14:paraId="0BAC494A" w14:textId="77777777" w:rsidR="00572A86" w:rsidRDefault="007944B8">
      <w:pPr>
        <w:keepNext/>
        <w:numPr>
          <w:ilvl w:val="0"/>
          <w:numId w:val="33"/>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b/>
          <w:color w:val="000000"/>
        </w:rPr>
        <w:lastRenderedPageBreak/>
        <w:t>WYMAGANIA DOTYCZĄCE WYKONANIA I ODBIORU ROBÓT BUDOWLANYCH</w:t>
      </w:r>
    </w:p>
    <w:p w14:paraId="6B845739"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F132084"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wykonania i odbioru robót budowlanych zostały zawarte w ST tom I pkt. 16 oraz </w:t>
      </w:r>
      <w:r>
        <w:rPr>
          <w:rFonts w:ascii="Calibri" w:eastAsia="Calibri" w:hAnsi="Calibri" w:cs="Calibri"/>
          <w:sz w:val="22"/>
          <w:szCs w:val="22"/>
        </w:rPr>
        <w:t>19</w:t>
      </w:r>
      <w:r>
        <w:rPr>
          <w:rFonts w:ascii="Calibri" w:eastAsia="Calibri" w:hAnsi="Calibri" w:cs="Calibri"/>
          <w:color w:val="000000"/>
          <w:sz w:val="22"/>
          <w:szCs w:val="22"/>
        </w:rPr>
        <w:t>.</w:t>
      </w:r>
    </w:p>
    <w:p w14:paraId="2BD336B4"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0E66D8E"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Koordynacja robót budowlano montażowych poszczególnych rodzajów powinna być dokonywana we wszystkich fazach procesu inwestycyjnego i </w:t>
      </w:r>
      <w:r>
        <w:rPr>
          <w:rFonts w:ascii="Calibri" w:eastAsia="Calibri" w:hAnsi="Calibri" w:cs="Calibri"/>
          <w:sz w:val="22"/>
          <w:szCs w:val="22"/>
        </w:rPr>
        <w:t>potwierdzona</w:t>
      </w:r>
      <w:r>
        <w:rPr>
          <w:rFonts w:ascii="Calibri" w:eastAsia="Calibri" w:hAnsi="Calibri" w:cs="Calibri"/>
          <w:color w:val="000000"/>
          <w:sz w:val="22"/>
          <w:szCs w:val="22"/>
        </w:rPr>
        <w:t xml:space="preserve"> zapisami w dzienniku budowy.</w:t>
      </w:r>
    </w:p>
    <w:p w14:paraId="0305DC72"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umową oraz za jakość zastosowanych materiałów i wykonywanych robót, za ich zgodność z dokumentacją projektową, wymaganiami specyfikacji technicznej, z harmonogramem rzeczowo - finansowym oraz poleceniami Inspektora nadzoru.</w:t>
      </w:r>
    </w:p>
    <w:p w14:paraId="12E6BE8F"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należy wykonać w oparciu o obowiązujące przepisy i normy wykonania i odbioru robót:</w:t>
      </w:r>
    </w:p>
    <w:p w14:paraId="39292FD2" w14:textId="77777777" w:rsidR="00572A86" w:rsidRDefault="007944B8">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ustawą z dnia 7 lipca 1994 r. Prawo budowlane (Dz. U. z 2023 r. poz. 682 z </w:t>
      </w:r>
      <w:proofErr w:type="spellStart"/>
      <w:r>
        <w:rPr>
          <w:rFonts w:ascii="Calibri" w:eastAsia="Calibri" w:hAnsi="Calibri" w:cs="Calibri"/>
          <w:color w:val="000000"/>
          <w:sz w:val="22"/>
          <w:szCs w:val="22"/>
        </w:rPr>
        <w:t>późń</w:t>
      </w:r>
      <w:proofErr w:type="spellEnd"/>
      <w:r>
        <w:rPr>
          <w:rFonts w:ascii="Calibri" w:eastAsia="Calibri" w:hAnsi="Calibri" w:cs="Calibri"/>
          <w:color w:val="000000"/>
          <w:sz w:val="22"/>
          <w:szCs w:val="22"/>
        </w:rPr>
        <w:t>. zm.)</w:t>
      </w:r>
    </w:p>
    <w:p w14:paraId="7C1C5AC9" w14:textId="77777777" w:rsidR="00572A86" w:rsidRDefault="007944B8">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ustawą z dnia 16 kwietnia 2004 r. o wyrobach budowlanych (Dz. U. 2021 poz. 1213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xml:space="preserve">. zm.) </w:t>
      </w:r>
    </w:p>
    <w:p w14:paraId="66D3C681" w14:textId="77777777" w:rsidR="00572A86" w:rsidRDefault="007944B8">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Polskimi normami, normami branżowymi oraz innymi przepisami, dotyczącymi prowadzonych robót.</w:t>
      </w:r>
    </w:p>
    <w:p w14:paraId="65733BDF"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w:t>
      </w:r>
    </w:p>
    <w:p w14:paraId="10CCC144" w14:textId="77777777" w:rsidR="00572A86" w:rsidRDefault="007944B8">
      <w:pPr>
        <w:numPr>
          <w:ilvl w:val="0"/>
          <w:numId w:val="1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utrzymywać teren robót i wykopy w stanie bez wody stojącej,</w:t>
      </w:r>
    </w:p>
    <w:p w14:paraId="1A1F0CB8" w14:textId="77777777" w:rsidR="00572A86" w:rsidRDefault="007944B8">
      <w:pPr>
        <w:numPr>
          <w:ilvl w:val="0"/>
          <w:numId w:val="1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podejmować wszelkie konieczne kroki mające na celu stosowanie się do przepisów i norm dotyczących ochrony środowiska na terenie i wokół terenu robót oraz będzie unikać uszkodzeń lub uciążliwości dla osób lub własności społecznej, a wynikających ze skażenia, hałasu lub innych przyczyn powstałych w następstwie jego sposobu działania.</w:t>
      </w:r>
    </w:p>
    <w:p w14:paraId="3437BF78"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Stosując się do tych wymagań, Wykonawca będzie miał szczególny wzgląd na: </w:t>
      </w:r>
    </w:p>
    <w:p w14:paraId="59B92327" w14:textId="77777777" w:rsidR="00572A86" w:rsidRDefault="007944B8">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zanieczyszczeniem zbiorników i cieków wodnych pyłami lub substancjami toksycznymi,</w:t>
      </w:r>
    </w:p>
    <w:p w14:paraId="2E8670BA" w14:textId="77777777" w:rsidR="00572A86" w:rsidRDefault="007944B8">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zanieczyszczenia powietrza pyłami lub gazami,</w:t>
      </w:r>
    </w:p>
    <w:p w14:paraId="769F5613" w14:textId="77777777" w:rsidR="00572A86" w:rsidRDefault="007944B8">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możliwość powstania pożaru.</w:t>
      </w:r>
    </w:p>
    <w:p w14:paraId="59B6142E"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będzie przestrzegać przepisów ochrony przeciwpożarowej i utrzymywać sprawny sprzęt przeciwpożarowy, wymagany odpowiednimi przepisami. Materiały łatwopalne będą składowane w sposób zgodny z odpowiednimi przepisami i zabezpieczone przed dostępem osób trzecich. </w:t>
      </w:r>
    </w:p>
    <w:p w14:paraId="39311D86"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będzie odpowiedzialny za wszystkie straty spowodowane pożarem wywołanym jako rezultat realizacji robót albo przez personel wykonawcy. </w:t>
      </w:r>
    </w:p>
    <w:p w14:paraId="2C467E57"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odpowiada za ochronę instalacji sieci i urządzeń itp. zlokalizowanych w miejscu prowadzenia robót budowlanych. </w:t>
      </w:r>
    </w:p>
    <w:p w14:paraId="27698F39"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zapewni właściwe oznaczenie i zabezpieczenie przed uszkodzeniem instalacji, sieci urządzeń itp. w czasie trwania robót budowlanych. </w:t>
      </w:r>
    </w:p>
    <w:p w14:paraId="17A8395A"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 fakcie przypadkowego uszkodzenia, Wykonawca bezzwłocznie powiadomi Inspektora nadzoru i zainteresowanych użytkowników oraz będzie z nimi współpracował, dostarczając wszelkiej pomocy potrzebnej przy dokonaniu napraw. Wykonawca będzie odpowiadać za wszelkie spowodowane przez jego działanie uszkodzenia.</w:t>
      </w:r>
    </w:p>
    <w:p w14:paraId="2BACFBA7"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Następstwa jakiegokolwiek błędu spowodowanego przez Wykonawcę w wytyczeniu i wykonywaniu robót zostaną poprawione przez Wykonawcę na własny koszt. </w:t>
      </w:r>
    </w:p>
    <w:p w14:paraId="263EF3DC"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Decyzje Inspektora Nadzoru dotyczące akceptacji lub odrzucenia materiałów i elementów robót będą oparte na wymaganiach sformułowanych w dokumentach umowy, dokumentacji projektowej i w specyfikacji technicznej, a także w normach i wytycznych. Przy podejmowaniu decyzji Inspektor nadzoru uwzględni wyniki badań materiałów i robót, rozrzuty normalnie występujące przy produkcji i przy badaniach materiałów, doświadczenia z przeszłości, wyniki badań naukowych oraz inne czynniki wpływające na rozważaną kwestię. </w:t>
      </w:r>
    </w:p>
    <w:p w14:paraId="581E0F9E"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Polecenia Inspektora nadzoru dotyczące realizacji robót będą wykonywane przez Wykonawcę nie później niż w czasie przez niego wyznaczonym, pod groźba wstrzymania robót. Skutki finansowe z tytułu wstrzymania robót w takiej sytuacji ponosi Wykonawca. </w:t>
      </w:r>
    </w:p>
    <w:p w14:paraId="144A124B" w14:textId="77777777" w:rsidR="00572A86" w:rsidRDefault="007944B8">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Poza warunkami określonymi w założeniach roboty powinny być wykonane zgodnie z warunkami wynikającymi z rozporządzenia Ministra Infrastruktury z dnia 24 czerwca 2022 w sprawie przepisów techniczno-budowlanych dotyczących dróg publicznych (tekst jedn. Dz. U. 2022 poz. 1518).</w:t>
      </w:r>
    </w:p>
    <w:p w14:paraId="78AC7E51"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8" w:name="_heading=h.4i7ojhp" w:colFirst="0" w:colLast="0"/>
      <w:bookmarkEnd w:id="18"/>
    </w:p>
    <w:p w14:paraId="0C76D6AD"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robót rozbiórkowych nawierzchni chodników i dróg</w:t>
      </w:r>
    </w:p>
    <w:p w14:paraId="46165808" w14:textId="77777777" w:rsidR="00572A86" w:rsidRDefault="007944B8">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rozbiórkowe elementów chodników i nawierzchni obejmują usunięcie z terenu budowy wszystkich jej elementów kolidujących z prowadzeniem robót objętych zamówieniem. </w:t>
      </w:r>
    </w:p>
    <w:p w14:paraId="623BF2B0" w14:textId="77777777" w:rsidR="00572A86" w:rsidRDefault="007944B8">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rozbiórkowe można wykonywać ręcznie mechanicznie lub w inny sposób określony z inspektorem nadzoru. </w:t>
      </w:r>
    </w:p>
    <w:p w14:paraId="30DA243A" w14:textId="77777777" w:rsidR="00572A86" w:rsidRDefault="007944B8">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elementy możliwe do powtórnego wbudowania i wykorzystania powinny być oczyszczone i posegregowane według danych asortymentów. </w:t>
      </w:r>
    </w:p>
    <w:p w14:paraId="3BAC9A30" w14:textId="77777777" w:rsidR="00572A86" w:rsidRDefault="007944B8">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Przed powtórnym wbudowaniem wszystkie elementy z odzysku powinny być odebrane przez inspektora nadzoru. </w:t>
      </w:r>
    </w:p>
    <w:p w14:paraId="67A40A76" w14:textId="77777777" w:rsidR="00572A86" w:rsidRDefault="007944B8">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Doły i wykopy powstałe po rozbiórce elementów nawierzchni dróg i chodników znajdujące się w miejscach, będą wykonane robot drogowe, powinny być tymczasowo zabezpieczone. W szczególności należy zapobiec gromadzeniu się w nich wody opadowej. </w:t>
      </w:r>
    </w:p>
    <w:p w14:paraId="1B3247B5" w14:textId="77777777" w:rsidR="00572A86" w:rsidRDefault="007944B8">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Ubytki w miejscach, gdzie nie przewiduje się wykonania wykopów drogowych należy wypełnić warstwami gruntem o wilgotności optymalnej i zagęścić do poziomu otaczającego terenu.</w:t>
      </w:r>
    </w:p>
    <w:p w14:paraId="72F5A160" w14:textId="77777777" w:rsidR="00572A86" w:rsidRDefault="00572A86">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p>
    <w:p w14:paraId="543CC9AC"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bookmarkStart w:id="19" w:name="_heading=h.2xcytpi" w:colFirst="0" w:colLast="0"/>
      <w:bookmarkEnd w:id="19"/>
      <w:r>
        <w:rPr>
          <w:rFonts w:ascii="Calibri" w:eastAsia="Calibri" w:hAnsi="Calibri" w:cs="Calibri"/>
          <w:b/>
          <w:color w:val="000000"/>
          <w:sz w:val="22"/>
          <w:szCs w:val="22"/>
        </w:rPr>
        <w:t xml:space="preserve"> Profilowanie i zagęszczenie podłoża</w:t>
      </w:r>
    </w:p>
    <w:p w14:paraId="3B11B79B" w14:textId="77777777" w:rsidR="00572A86" w:rsidRDefault="007944B8">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przystąpić do wykonania koryta oraz profilowania i zagęszczenia podłoża bezpośrednio przed rozpoczęciem robót związanych z wykonaniem warstw nawierzchni. W wykonanym korycie oraz po wyprofilowanym i zagęszczonym podłożu nie może odbywać się ruch budowlany, niezwiązany bezpośrednio z wykonaniem pierwszej warstwy nawierzchni. Koryto można wykonywać ręcznie, gdy jego szerokość nie pozwala na zastosowanie maszyn, na przykład na poszerzeniach lub w przypadku robót o małym zakresie. Sposób wykonania musi być zaakceptowany przez Inspektora Nadzoru. Grunt odspojony w czasie wykonywania koryta powinien być, zgodnie z decyzją Inspektora Nadzoru wbudowany w nasyp lub odwieziony na odkład lub do utylizacji. 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14:paraId="31BD9345" w14:textId="77777777" w:rsidR="00572A86" w:rsidRDefault="007944B8">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Jeżeli powyższy warunek nie jest spełniony i występują zaniżenia poziomu w podłożu przewidzianym do profilowania, Wykonawca powinien spulchnić podłoże na głębokość zaakceptowaną przez Inspektora Nadzoru, dowieźć dodatkowy grunt spełniający wymagania obowiązujące dla górnej strefy korpusu, w ilości koniecznej do uzyskania wymaganych rzędnych wysokościowych i zagęścić warstwę do uzyskania wartości wskaźnika zagęszczenia. Bezpośrednio po profilowaniu podłoża należy przystąpić do jego zagęszczania. Zagęszczanie podłoża należy kontynuować do osiągnięcia wskaźnika zagęszczenia nie mniejszego od podanego niżej  Wskaźnik zagęszczenia gruntu na górnej warstwie gr. 20 cm powinien wynosić 1 natomiast na głębokości od 20 cm do 50 cm 0,97.  </w:t>
      </w:r>
    </w:p>
    <w:p w14:paraId="50C78F5D" w14:textId="77777777" w:rsidR="00572A86" w:rsidRDefault="007944B8">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Stosunek wtórnego i pierwotnego modułu odkształcenia nie powinien przekraczać 2,2. Wilgotność gruntu podłoża podczas zagęszczania powinna być równa wilgotności optymalnej z tolerancją od -20% do +10%.</w:t>
      </w:r>
    </w:p>
    <w:p w14:paraId="12D3BFB3" w14:textId="77777777" w:rsidR="00572A86" w:rsidRDefault="007944B8">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Inspektora. Jeżeli wyprofilowane i zagęszczone podłoże uległo nadmiernemu zawilgoceniu, to do układania kolejnej warstwy można przystąpić dopiero po jego naturalnym osuszeniu. Po osuszeniu podłoża Inspektor oceni jego stan i ewentualnie zaleci wykonanie niezbędnych napraw. Jeżeli zawilgocenie nastąpiło wskutek zaniedbania Wykonawcy, to naprawę wykona on na własny koszt.</w:t>
      </w:r>
    </w:p>
    <w:p w14:paraId="606DF27E"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20" w:name="_heading=h.1ci93xb" w:colFirst="0" w:colLast="0"/>
      <w:bookmarkEnd w:id="20"/>
    </w:p>
    <w:p w14:paraId="74FCBC03"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warstwy podsypkowej </w:t>
      </w:r>
    </w:p>
    <w:p w14:paraId="1EC5C30A" w14:textId="77777777" w:rsidR="00572A86" w:rsidRDefault="007944B8">
      <w:pPr>
        <w:numPr>
          <w:ilvl w:val="0"/>
          <w:numId w:val="18"/>
        </w:numPr>
        <w:pBdr>
          <w:top w:val="nil"/>
          <w:left w:val="nil"/>
          <w:bottom w:val="nil"/>
          <w:right w:val="nil"/>
          <w:between w:val="nil"/>
        </w:pBdr>
        <w:shd w:val="clear" w:color="auto" w:fill="FFFFFF"/>
        <w:spacing w:before="115"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Warstwy podsypkowe powinny być wytyczone w sposób umożliwiający wykonanie ich zgodnie z dokumentacją projektową z tolerancjami określonymi w niniejszej specyfikacji. Kruszywo powinno być rozkładane w warstwie o jednakowej grubości, z zachowaniem wymaganych spadków i rzędnych wysokościowych. Grubość rozłożonej warstwy luźnego kruszywa powinna być taka, aby po jej zagęszczeniu osiągnięto grubość projektowaną.</w:t>
      </w:r>
    </w:p>
    <w:p w14:paraId="23D82B87"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 miejscach, w których widoczna jest segregacja kruszywa należy przed zagęszczeniem wymienić kruszywo na materiał o odpowiednich właściwościach. Po końcowym wyprofilowaniu warstwy odsączającej lub odcinającej należy przystąpić do jej zagęszczania</w:t>
      </w:r>
    </w:p>
    <w:p w14:paraId="370AAC2A"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lub zagłębienia powstałe w czasie zagęszczania powinny być wyrównywane na bieżąco przez spulchnienie warstwy kruszywa i dodanie lub usunięcie materiału, aż do otrzymania równej powierzchni. Zagęszczanie należy kontynuować do osiągnięcia wskaźnika zagęszczenia nie mniejszego od 1,0 według normalnej próby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w:t>
      </w:r>
    </w:p>
    <w:p w14:paraId="2F7BA418"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gdy gruboziarnisty materiał, wbudowany w warstwę odsączającą lub odcinającą, uniemożliwia przeprowadzenie badania zagęszczenia według normalnej próby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kontrolę zagęszczenia należy oprzeć na metodzie obciążeń płytowych. Należy określić pierwotny i wtórny moduł odkształcenia warstwy. Stosunek wtórnego i pierwotnego modułu odkształcenia nie powinien przekraczać 2,2. </w:t>
      </w:r>
    </w:p>
    <w:p w14:paraId="35530895"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Wilgotność kruszywa podczas zagęszczania powinna być równa wilgotności optymalnej z tolerancją od -20% do +10% jej wartości. W przypadku, gdy wilgotność kruszywa jest wyższa od wilgotności optymalnej, kruszywo należy osuszyć przez mieszanie i napowietrzanie. W przypadku, gdy wilgotność kruszywa jest niższa od wilgotności optymalnej, kruszywo należy zwilżyć określoną ilością wody i równomiernie wymieszać. </w:t>
      </w:r>
    </w:p>
    <w:p w14:paraId="4D7D0A21"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Grubość warstw powinna być zgodna z określona w dokumentacji projektowej tolerancja +1, -2 cm. Jeżeli warstwa wykonana została w dwóch warstwach należy mierzyć łączną grubość tych warstw,</w:t>
      </w:r>
    </w:p>
    <w:p w14:paraId="50FA7133"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Szerokość warstwy nie może różnić się od szerokości warstwy projektowanej o więcej niż +10,- 5cm. </w:t>
      </w:r>
    </w:p>
    <w:p w14:paraId="32D589DE"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i poprzeczne należy mierzyć 4 m łatą, nie mogą one przekraczać 20 mm. </w:t>
      </w:r>
    </w:p>
    <w:p w14:paraId="4516E968"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warstwy odcinającej na prostych łukach powinny być zgodne z dokumentacją projektową z tolerancją + 0,5%. </w:t>
      </w:r>
    </w:p>
    <w:p w14:paraId="1B0519DE"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Warstwa odsączająca i odcinająca po wykonaniu, a przed ułożeniem następnej warstwy powinny być utrzymywane w dobrym stanie. </w:t>
      </w:r>
    </w:p>
    <w:p w14:paraId="2DBE2062" w14:textId="77777777" w:rsidR="00572A86" w:rsidRDefault="007944B8">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warstwy z kruszywa dopuszcza się ruch pojazdów koniecznych dla wykonania wyżej leżącej warstwy nawierzchni. </w:t>
      </w:r>
    </w:p>
    <w:p w14:paraId="71ED150F" w14:textId="77777777" w:rsidR="00572A86" w:rsidRDefault="00572A86">
      <w:pPr>
        <w:pBdr>
          <w:top w:val="nil"/>
          <w:left w:val="nil"/>
          <w:bottom w:val="nil"/>
          <w:right w:val="nil"/>
          <w:between w:val="nil"/>
        </w:pBdr>
        <w:shd w:val="clear" w:color="auto" w:fill="FFFFFF"/>
        <w:spacing w:before="130" w:line="240" w:lineRule="auto"/>
        <w:ind w:left="0" w:hanging="2"/>
        <w:jc w:val="both"/>
        <w:rPr>
          <w:rFonts w:ascii="Calibri" w:eastAsia="Calibri" w:hAnsi="Calibri" w:cs="Calibri"/>
          <w:color w:val="000000"/>
          <w:sz w:val="22"/>
          <w:szCs w:val="22"/>
        </w:rPr>
      </w:pPr>
      <w:bookmarkStart w:id="21" w:name="_heading=h.3whwml4" w:colFirst="0" w:colLast="0"/>
      <w:bookmarkEnd w:id="21"/>
    </w:p>
    <w:p w14:paraId="2F4DC8E7"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podbudowy z chudego betonu</w:t>
      </w:r>
    </w:p>
    <w:p w14:paraId="5621017C" w14:textId="77777777" w:rsidR="00572A86" w:rsidRDefault="007944B8">
      <w:pPr>
        <w:numPr>
          <w:ilvl w:val="0"/>
          <w:numId w:val="19"/>
        </w:numPr>
        <w:pBdr>
          <w:top w:val="nil"/>
          <w:left w:val="nil"/>
          <w:bottom w:val="nil"/>
          <w:right w:val="nil"/>
          <w:between w:val="nil"/>
        </w:pBdr>
        <w:shd w:val="clear" w:color="auto" w:fill="FFFFFF"/>
        <w:spacing w:before="182"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nie może być wykonywana wtedy, gdy temperatura powietrza spadła poniżej 5°C oraz wtedy, gdy podłoże jest zamarznięte i podczas opadów deszczu. Nie należy rozpoczynać produkcji mieszanki betonowej, jeżeli prognozy meteorologiczne wskazują na możliwy spadek temperatury poniżej 2°C w czasie najbliższych 7 dni. Podbudowę z chudego betonu należy układać na wilgotnym podłożu.</w:t>
      </w:r>
    </w:p>
    <w:p w14:paraId="4B42DB65" w14:textId="77777777" w:rsidR="00572A86" w:rsidRDefault="007944B8">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Jeżeli warstwa chudego betonu ma być układana w prowadnicach, to po wytyczeniu podbudowy należy ustawić na podłożu prowadnice w taki sposób, aby wyznaczały one ściśle linie krawędzi podbudowy według dokumentacji projektowej. Wysokość prowadnic powinna odpowiadać grubości warstwy mieszanki betonowej w stanie niezagęszczonym.</w:t>
      </w:r>
    </w:p>
    <w:p w14:paraId="5EE79A5D" w14:textId="77777777" w:rsidR="00572A86" w:rsidRDefault="007944B8">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Mieszankę chudego betonu o ściśle określonym uziarnieniu, zawartości cementu i wilgotności optymalnej należy wytwarzać w mieszarkach stacjonarnych, gwarantujących otrzymanie jednorodnej mieszanki. Mieszanka po wyprodukowaniu powinna być od razu transportowana na miejsce wbudowania, w sposób zabezpieczony przed segregacją i nadmiernym wysychaniem.</w:t>
      </w:r>
    </w:p>
    <w:p w14:paraId="7619D878" w14:textId="77777777" w:rsidR="00572A86" w:rsidRDefault="007944B8">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Przy układaniu mieszanki betonowej za pomocą równiarek konieczne jest stosowanie prowadnic. Wbudowanie za pomocą równiarek bez stosowania prowadnic, może odbywać się tylko w wyjątkowych wypadkach, za zgodą Inspektora Nadzoru.</w:t>
      </w:r>
    </w:p>
    <w:p w14:paraId="58926901" w14:textId="77777777" w:rsidR="00572A86" w:rsidRDefault="007944B8">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Podbudowy z chudego betonu wykonuje się w jednej warstwie o grubości od 10 do 20 cm, po zagęszczeniu. Gdy wymagana jest większa grubość, to do układania drugiej warstwy można przystąpić najwcześniej po upływie 7 dni od wykonania pierwszej warstwy i po odbiorze jej przez Inspektora Nadzoru.</w:t>
      </w:r>
    </w:p>
    <w:p w14:paraId="03D33D7C" w14:textId="77777777" w:rsidR="00572A86" w:rsidRDefault="007944B8">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Natychmiast po rozłożeniu i wyprofilowaniu mieszanki należy rozpocząć jej zagęszczanie. Zagęszczanie podbudów o przekroju daszkowym powinno rozpocząć się od krawędzi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nakładającymi się, w stronę wyżej położonej krawędzi podbudowy. Pojawiające się w czasie wałowania zaniżenia, ubytki, rozwarstwienia i podobne wady, powinny być natychmiast naprawione przez zerwanie warstwy w miejscach wadliwie wykonanych na pełną głębokość i wbudowanie nowej mieszanki albo przez ścięcie nadmiaru, wyrównanie i zagęszczenie. Powierzchnia zagęszczonej warstwy powinna mieć prawidłowy przekrój poprzeczny i jednolity wygląd. Zagęszczanie należy kontynuować do osiągnięcia wskaźnika zagęszczenia nie mniejszego niż 1,00 określonego według normalnej metody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(cylinder typu dużego, II- </w:t>
      </w:r>
      <w:proofErr w:type="spellStart"/>
      <w:r>
        <w:rPr>
          <w:rFonts w:ascii="Calibri" w:eastAsia="Calibri" w:hAnsi="Calibri" w:cs="Calibri"/>
          <w:color w:val="000000"/>
          <w:sz w:val="22"/>
          <w:szCs w:val="22"/>
        </w:rPr>
        <w:t>ga</w:t>
      </w:r>
      <w:proofErr w:type="spellEnd"/>
      <w:r>
        <w:rPr>
          <w:rFonts w:ascii="Calibri" w:eastAsia="Calibri" w:hAnsi="Calibri" w:cs="Calibri"/>
          <w:color w:val="000000"/>
          <w:sz w:val="22"/>
          <w:szCs w:val="22"/>
        </w:rPr>
        <w:t xml:space="preserve"> metoda oznaczania). Zagęszczenie powinno być zakończone przed rozpoczęciem czasu wiązania cementu. Wilgotność mieszanki betonowej podczas zagęszczania powinna być równa wilgotności optymalnej z tolerancją + 10% i - 20% jej wartości.</w:t>
      </w:r>
    </w:p>
    <w:p w14:paraId="59EA63A9" w14:textId="77777777" w:rsidR="00572A86" w:rsidRDefault="007944B8">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tak organizować roboty, aby w miarę możliwości unikać podłużnych spoin roboczych, poprzez wykonanie podbudowy na całą szerokość równocześnie. W przeciwnym razie, przy podbudowie wykonywanej w prowadnicach, przed wykonaniem kolejnego pasa podbudowy, należy pionową krawędź wykonanego pasa zwilżyć wodą. Przy podbudowie wykonanej bez prowadnic w ułożonej i zagęszczonej mieszance, należy wcześniej obciąć pionową krawędź. Po zwilżeniu jej wodą należy wbudować kolejny pas podbudowy. W podobny sposób należy wykonać poprzeczną spoinę roboczą na połączeniu działek roboczych. Od obcięcia pionowej krawędzi we wcześniej wykonanej mieszance można odstąpić wtedy, gdy czas pomiędzy zakończeniem zagęszczania jednego pasa, a rozpoczęciem wbudowania sąsiedniego pasa podbudowy, nie przekracza 60 minut. Jeżeli w dolnej warstwie podbudowy występują spoiny robocze, to spoiny w górnej warstwie podbudowy powinny być względem nich przesunięte o co najmniej 30 cm dla spoiny podłużnej i 1 m dla spoiny poprzecznej.</w:t>
      </w:r>
    </w:p>
    <w:p w14:paraId="0FFE2B48" w14:textId="77777777" w:rsidR="00572A86" w:rsidRDefault="007944B8">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powinna być natychmiast po zagęszczeniu poddana pielęgnacji. Pielęgnacja powinna być przeprowadzona według jednego z następujących sposobów:</w:t>
      </w:r>
    </w:p>
    <w:p w14:paraId="24CF1750" w14:textId="77777777" w:rsidR="00572A86" w:rsidRDefault="007944B8">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skropienie preparatami powłokowymi posiadającymi aprobatę techniczną po uprzednim zaakceptowaniu ich użycia przez Inspektora Nadzoru,</w:t>
      </w:r>
    </w:p>
    <w:p w14:paraId="37BE2DB5" w14:textId="77777777" w:rsidR="00572A86" w:rsidRDefault="007944B8">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utrzymanie w stanie wilgotnym poprzez kilkakrotne skraplanie wodą co najmniej 7 dni,</w:t>
      </w:r>
    </w:p>
    <w:p w14:paraId="15EC43D6" w14:textId="77777777" w:rsidR="00572A86" w:rsidRDefault="007944B8">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na okres 7 dni nieprzepuszczalną folią z tworzywa sztucznego, ułożoną na zakład co najmniej 30 cm i zabezpieczoną przed zerwaniem z powierzchni podbudowy przez wiatr,</w:t>
      </w:r>
    </w:p>
    <w:p w14:paraId="23F31C5F" w14:textId="77777777" w:rsidR="00572A86" w:rsidRDefault="007944B8">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warstwą piasku lub grubej włókniny i utrzymanie jej w stanie wilgotnym przez co najmniej 7 dni.</w:t>
      </w:r>
    </w:p>
    <w:p w14:paraId="409421C2" w14:textId="77777777" w:rsidR="00572A86" w:rsidRDefault="007944B8">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Inne sposoby pielęgnacji, zaproponowane przez Wykonawcę i inne materiały mogą być zastosowane po uzyskaniu akceptacji Inżyniera. Nie należy dopuszczać żadnego ruchu pojazdów i maszyn po podbudowie w okresie 7 dni pielęgnacji , a po tym czasie ewentualny ruch budowlany może odbywać się wyłącznie za zgodą Inspektora Nadzoru.</w:t>
      </w:r>
    </w:p>
    <w:p w14:paraId="0DDFE0A1" w14:textId="77777777" w:rsidR="00572A86" w:rsidRDefault="007944B8">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Podbudowa po wykonaniu, a przed ułożeniem następnej warstwy, powinna być chroniona przed uszkodzeniami. Jeżeli Wykonawca będzie wykorzystywał, za zgodą Inspektora Nadzoru, gotową podbudowę do ruchu budowlanego, to powinien naprawić wszelkie uszkodzenia podbudowy, spowodowane przez ten ruch, na własny koszt. </w:t>
      </w:r>
    </w:p>
    <w:p w14:paraId="60B92919" w14:textId="77777777" w:rsidR="00572A86" w:rsidRDefault="007944B8">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przeprowadzenia bieżących napraw podbudowy, uszkodzonej wskutek oddziaływania czynników atmosferycznych, takich jak opady deszczu, śniegu i mróz. </w:t>
      </w:r>
    </w:p>
    <w:p w14:paraId="3A6A8F28" w14:textId="77777777" w:rsidR="00572A86" w:rsidRDefault="007944B8">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Wykonawca jest zobowiązany wstrzymać ruch budowlany po okresie intensywnych opadów deszczu, jeżeli wystąpi możliwość uszkodzenia podbudowy.</w:t>
      </w:r>
    </w:p>
    <w:p w14:paraId="2502BAAA" w14:textId="77777777" w:rsidR="00572A86" w:rsidRDefault="00572A86">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2" w:name="_heading=h.2bn6wsx" w:colFirst="0" w:colLast="0"/>
      <w:bookmarkEnd w:id="22"/>
    </w:p>
    <w:p w14:paraId="74BFCA05"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kostki betonowej;</w:t>
      </w:r>
    </w:p>
    <w:p w14:paraId="7CB61FD8"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układa się na podsypce lub podłożu piaszczystym w taki sposób, aby szczeliny między kostkami wynosiły od 2 do 3 mm. </w:t>
      </w:r>
    </w:p>
    <w:p w14:paraId="71F08F63"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należy układać ok. 1,5 cm wyżej od projektowanej niwelety nawierzchni, gdyż w czasie wibrowania (ubijania) podsypka ulega zagęszczeniu. </w:t>
      </w:r>
    </w:p>
    <w:p w14:paraId="34B9B4CA"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ułożeniu kostki, szczeliny należy wypełnić piaskiem, a następnie zamieść powierzchnię ułożonych kostek przy użyciu szczotek ręcznych lub mechanicznych i przystąpić do ubijania nawierzchni. </w:t>
      </w:r>
    </w:p>
    <w:p w14:paraId="53596B8B"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ubijania ułożonej nawierzchni z kostek brukowych stosuje się wibratory płytowe z osłoną z tworzywa sztucznego dla ochrony kostek przed uszkodzeniem i zabrudzeniem. </w:t>
      </w:r>
    </w:p>
    <w:p w14:paraId="287F9C3F"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Wibrowanie należy prowadzić od krawędzi powierzchni ubijanej w kierunku środka i jednocześnie w kierunku poprzecznym kształtek. </w:t>
      </w:r>
    </w:p>
    <w:p w14:paraId="4299F42E"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zagęszczenia nawierzchni z betonowych kostek brukowych nie wolno używać walca. </w:t>
      </w:r>
    </w:p>
    <w:p w14:paraId="273953A4"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Dzienną działkę roboczą nawierzchni na podsypce cementowo-piaskowej zaleca się zakończyć prowizorycznie około półmetrowym pasem nawierzchni na podsypce piaskowej w celu wytworzenia oporu dla ubicia kostki ułożonej na stałe. </w:t>
      </w:r>
    </w:p>
    <w:p w14:paraId="5D4A86A1"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ubiciu nawierzchni należy uzupełnić szczeliny piaskiem i zamieść nawierzchnię. </w:t>
      </w:r>
    </w:p>
    <w:p w14:paraId="0F1BB658" w14:textId="77777777" w:rsidR="00572A86" w:rsidRDefault="007944B8">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Nawierzchnia z wypełnieniem spoin piaskiem nie wymaga pielęgnacji – może być od razu oddana do ruchu.</w:t>
      </w:r>
    </w:p>
    <w:p w14:paraId="352EF801" w14:textId="77777777" w:rsidR="00572A86" w:rsidRDefault="00572A86">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3" w:name="_heading=h.qsh70q" w:colFirst="0" w:colLast="0"/>
      <w:bookmarkEnd w:id="23"/>
    </w:p>
    <w:p w14:paraId="65ED1461"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betonu asfaltowego</w:t>
      </w:r>
    </w:p>
    <w:p w14:paraId="5333BB28"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lepiszcza, wypełniacza oraz kruszyw przeznaczonych do produkcji mieszanki mineralno-asfaltowej i przedstawić wyniki tych badań Inspektorowi Nadzoru do akceptacji.</w:t>
      </w:r>
    </w:p>
    <w:p w14:paraId="029FD948"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Próbki do badań uziarnienia mieszanki mineralnej należy pobrać po wymieszaniu kruszyw, a przed podaniem asfaltu w ilości min. 2 próbki na dziennej działce roboczej. Krzywa uziarnienia powinna być zgodna z zaprojektowaną w recepcie laboratoryjnej.</w:t>
      </w:r>
    </w:p>
    <w:p w14:paraId="495F5A46"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Badanie składu mieszanki mineralno-asfaltowej należy przeprowadzić w oparciu o 1 próbkę przy produkcji do 500 Mg lub 2 próbki przy produkcji ponad 500 Mg. Badanie polega na wykonaniu ekstrakcji. Wyniki powinny być zgodne z receptą laboratoryjną z tolerancją określoną w tablicy 17.</w:t>
      </w:r>
    </w:p>
    <w:p w14:paraId="6A171555"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asfaltu należy określić dla każdej cysterny, wypełniacza na każde 100 Mg zużytego wypełniacza, kruszywa z częstotliwością 1 na 200 Mg i przy każdej zmianie.</w:t>
      </w:r>
    </w:p>
    <w:p w14:paraId="129A4FEC"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Pomiar temperatury składników mieszanki mineralno-asfaltowej należy prowadzić w sposób ciągły. Pomiar temperatury mieszanki mineralno-asfaltowej należy wykonać dla każdego pojazdu przy załadunku i w czasie wbudowywania. Dokładność pomiaru ± 2° C.</w:t>
      </w:r>
    </w:p>
    <w:p w14:paraId="44F8D5BE"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wyglądu mieszanki mineralno-asfaltowej należy wykonać dla każdego pojazdu przy załadunku i w czasie wbudowywania. Polega ono na ocenie wizualnej jej wyglądu w czasie produkcji, załadunku, rozładunku i wbudowywania.</w:t>
      </w:r>
    </w:p>
    <w:p w14:paraId="192CBF08"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mieszanki mineralno-asfaltowej należy określać jeden raz dziennie na próbkach zagęszczonych metodą Marshalla.</w:t>
      </w:r>
    </w:p>
    <w:p w14:paraId="64A943AF"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Szerokość warstwy ścieralnej z betonu asfaltowego należy mierzyć 2 razy na odcinku drogi o długości 1 km i powinna być ona zgodna z istniejącą z tolerancją 5 cm. Szerokość warstwy asfaltowej niżej położonej, nieograniczonej krawężnikiem lub opornikiem w nowej konstrukcji nawierzchni, powinna być szersza z każdej strony, co najmniej o grubość warstwy na niej położonej, nie mniej jednak niż 5 cm.</w:t>
      </w:r>
    </w:p>
    <w:p w14:paraId="4C96901A" w14:textId="77777777" w:rsidR="00572A86" w:rsidRDefault="007944B8">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podłużne i poprzeczne warstw z betonu asfaltowego mierzyć należy 10 razy na odcinku drogi o długości 1 km i nie powinny być one większe od podanych w tablicy 17.</w:t>
      </w:r>
    </w:p>
    <w:p w14:paraId="47231521" w14:textId="77777777" w:rsidR="00572A86" w:rsidRDefault="007944B8">
      <w:pPr>
        <w:pBdr>
          <w:top w:val="nil"/>
          <w:left w:val="nil"/>
          <w:bottom w:val="nil"/>
          <w:right w:val="nil"/>
          <w:between w:val="nil"/>
        </w:pBdr>
        <w:shd w:val="clear" w:color="auto" w:fill="FFFFFF"/>
        <w:spacing w:before="120" w:line="240" w:lineRule="auto"/>
        <w:ind w:left="0" w:hanging="2"/>
        <w:jc w:val="center"/>
        <w:rPr>
          <w:rFonts w:ascii="Calibri" w:eastAsia="Calibri" w:hAnsi="Calibri" w:cs="Calibri"/>
          <w:color w:val="000000"/>
          <w:sz w:val="22"/>
          <w:szCs w:val="22"/>
        </w:rPr>
      </w:pPr>
      <w:r>
        <w:rPr>
          <w:rFonts w:ascii="Calibri" w:eastAsia="Calibri" w:hAnsi="Calibri" w:cs="Calibri"/>
          <w:b/>
          <w:color w:val="000000"/>
          <w:sz w:val="22"/>
          <w:szCs w:val="22"/>
        </w:rPr>
        <w:t xml:space="preserve">Tablica 17. </w:t>
      </w:r>
      <w:r>
        <w:rPr>
          <w:rFonts w:ascii="Calibri" w:eastAsia="Calibri" w:hAnsi="Calibri" w:cs="Calibri"/>
          <w:color w:val="000000"/>
          <w:sz w:val="22"/>
          <w:szCs w:val="22"/>
        </w:rPr>
        <w:t>Dopuszczalne nierówności warstw asfaltowych, mm</w:t>
      </w:r>
    </w:p>
    <w:tbl>
      <w:tblPr>
        <w:tblStyle w:val="a0"/>
        <w:tblW w:w="7935" w:type="dxa"/>
        <w:jc w:val="center"/>
        <w:tblInd w:w="0" w:type="dxa"/>
        <w:tblLayout w:type="fixed"/>
        <w:tblLook w:val="0000" w:firstRow="0" w:lastRow="0" w:firstColumn="0" w:lastColumn="0" w:noHBand="0" w:noVBand="0"/>
      </w:tblPr>
      <w:tblGrid>
        <w:gridCol w:w="623"/>
        <w:gridCol w:w="4146"/>
        <w:gridCol w:w="1439"/>
        <w:gridCol w:w="1727"/>
      </w:tblGrid>
      <w:tr w:rsidR="00572A86" w14:paraId="73D125CA" w14:textId="77777777">
        <w:trPr>
          <w:trHeight w:val="624"/>
          <w:jc w:val="center"/>
        </w:trPr>
        <w:tc>
          <w:tcPr>
            <w:tcW w:w="623" w:type="dxa"/>
            <w:tcBorders>
              <w:top w:val="single" w:sz="4" w:space="0" w:color="000000"/>
              <w:left w:val="single" w:sz="4" w:space="0" w:color="000000"/>
              <w:bottom w:val="single" w:sz="4" w:space="0" w:color="000000"/>
            </w:tcBorders>
            <w:shd w:val="clear" w:color="auto" w:fill="FFFFFF"/>
          </w:tcPr>
          <w:p w14:paraId="27EE6B1B"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lastRenderedPageBreak/>
              <w:t>Lp.</w:t>
            </w:r>
          </w:p>
        </w:tc>
        <w:tc>
          <w:tcPr>
            <w:tcW w:w="4147" w:type="dxa"/>
            <w:tcBorders>
              <w:top w:val="single" w:sz="4" w:space="0" w:color="000000"/>
              <w:left w:val="single" w:sz="4" w:space="0" w:color="000000"/>
              <w:bottom w:val="single" w:sz="4" w:space="0" w:color="000000"/>
            </w:tcBorders>
            <w:shd w:val="clear" w:color="auto" w:fill="FFFFFF"/>
          </w:tcPr>
          <w:p w14:paraId="008FB5AB" w14:textId="77777777" w:rsidR="00572A86" w:rsidRDefault="007944B8">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Drogi i place</w:t>
            </w:r>
          </w:p>
        </w:tc>
        <w:tc>
          <w:tcPr>
            <w:tcW w:w="1439" w:type="dxa"/>
            <w:tcBorders>
              <w:top w:val="single" w:sz="4" w:space="0" w:color="000000"/>
              <w:left w:val="single" w:sz="4" w:space="0" w:color="000000"/>
              <w:bottom w:val="single" w:sz="4" w:space="0" w:color="000000"/>
            </w:tcBorders>
            <w:shd w:val="clear" w:color="auto" w:fill="FFFFFF"/>
          </w:tcPr>
          <w:p w14:paraId="2438FFD8"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Warstwa ścieralna</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39BBC714" w14:textId="77777777" w:rsidR="00572A86" w:rsidRDefault="007944B8">
            <w:pPr>
              <w:pBdr>
                <w:top w:val="nil"/>
                <w:left w:val="nil"/>
                <w:bottom w:val="nil"/>
                <w:right w:val="nil"/>
                <w:between w:val="nil"/>
              </w:pBdr>
              <w:shd w:val="clear" w:color="auto" w:fill="FFFFFF"/>
              <w:spacing w:line="240" w:lineRule="auto"/>
              <w:ind w:left="0" w:right="163" w:hanging="2"/>
              <w:jc w:val="center"/>
              <w:rPr>
                <w:rFonts w:ascii="Calibri" w:eastAsia="Calibri" w:hAnsi="Calibri" w:cs="Calibri"/>
                <w:color w:val="000000"/>
                <w:sz w:val="22"/>
                <w:szCs w:val="22"/>
              </w:rPr>
            </w:pPr>
            <w:r>
              <w:rPr>
                <w:rFonts w:ascii="Calibri" w:eastAsia="Calibri" w:hAnsi="Calibri" w:cs="Calibri"/>
                <w:color w:val="000000"/>
                <w:sz w:val="22"/>
                <w:szCs w:val="22"/>
              </w:rPr>
              <w:t>Warstwa wiążąca</w:t>
            </w:r>
          </w:p>
        </w:tc>
      </w:tr>
      <w:tr w:rsidR="00572A86" w14:paraId="721D4C1D"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39A39E89"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w:t>
            </w:r>
          </w:p>
        </w:tc>
        <w:tc>
          <w:tcPr>
            <w:tcW w:w="4147" w:type="dxa"/>
            <w:tcBorders>
              <w:top w:val="single" w:sz="4" w:space="0" w:color="000000"/>
              <w:left w:val="single" w:sz="4" w:space="0" w:color="000000"/>
              <w:bottom w:val="single" w:sz="4" w:space="0" w:color="000000"/>
            </w:tcBorders>
            <w:shd w:val="clear" w:color="auto" w:fill="FFFFFF"/>
          </w:tcPr>
          <w:p w14:paraId="5505B3D4"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l, II, III</w:t>
            </w:r>
          </w:p>
        </w:tc>
        <w:tc>
          <w:tcPr>
            <w:tcW w:w="1439" w:type="dxa"/>
            <w:tcBorders>
              <w:top w:val="single" w:sz="4" w:space="0" w:color="000000"/>
              <w:left w:val="single" w:sz="4" w:space="0" w:color="000000"/>
              <w:bottom w:val="single" w:sz="4" w:space="0" w:color="000000"/>
            </w:tcBorders>
            <w:shd w:val="clear" w:color="auto" w:fill="FFFFFF"/>
          </w:tcPr>
          <w:p w14:paraId="56D09F7C"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4</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1C833F3A"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r>
      <w:tr w:rsidR="00572A86" w14:paraId="73DA02D9" w14:textId="77777777">
        <w:trPr>
          <w:trHeight w:val="288"/>
          <w:jc w:val="center"/>
        </w:trPr>
        <w:tc>
          <w:tcPr>
            <w:tcW w:w="623" w:type="dxa"/>
            <w:tcBorders>
              <w:top w:val="single" w:sz="4" w:space="0" w:color="000000"/>
              <w:left w:val="single" w:sz="4" w:space="0" w:color="000000"/>
              <w:bottom w:val="single" w:sz="4" w:space="0" w:color="000000"/>
            </w:tcBorders>
            <w:shd w:val="clear" w:color="auto" w:fill="FFFFFF"/>
          </w:tcPr>
          <w:p w14:paraId="68FDEFA4"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2</w:t>
            </w:r>
          </w:p>
        </w:tc>
        <w:tc>
          <w:tcPr>
            <w:tcW w:w="4147" w:type="dxa"/>
            <w:tcBorders>
              <w:top w:val="single" w:sz="4" w:space="0" w:color="000000"/>
              <w:left w:val="single" w:sz="4" w:space="0" w:color="000000"/>
              <w:bottom w:val="single" w:sz="4" w:space="0" w:color="000000"/>
            </w:tcBorders>
            <w:shd w:val="clear" w:color="auto" w:fill="FFFFFF"/>
          </w:tcPr>
          <w:p w14:paraId="70DF5133"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IV i V</w:t>
            </w:r>
          </w:p>
        </w:tc>
        <w:tc>
          <w:tcPr>
            <w:tcW w:w="1439" w:type="dxa"/>
            <w:tcBorders>
              <w:top w:val="single" w:sz="4" w:space="0" w:color="000000"/>
              <w:left w:val="single" w:sz="4" w:space="0" w:color="000000"/>
              <w:bottom w:val="single" w:sz="4" w:space="0" w:color="000000"/>
            </w:tcBorders>
            <w:shd w:val="clear" w:color="auto" w:fill="FFFFFF"/>
          </w:tcPr>
          <w:p w14:paraId="423AFD93"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6C1EC78B"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r>
      <w:tr w:rsidR="00572A86" w14:paraId="7B0021C1"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0DAC39A5"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3</w:t>
            </w:r>
          </w:p>
        </w:tc>
        <w:tc>
          <w:tcPr>
            <w:tcW w:w="4147" w:type="dxa"/>
            <w:tcBorders>
              <w:top w:val="single" w:sz="4" w:space="0" w:color="000000"/>
              <w:left w:val="single" w:sz="4" w:space="0" w:color="000000"/>
              <w:bottom w:val="single" w:sz="4" w:space="0" w:color="000000"/>
            </w:tcBorders>
            <w:shd w:val="clear" w:color="auto" w:fill="FFFFFF"/>
          </w:tcPr>
          <w:p w14:paraId="232C1754"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VI i VII oraz place i parkingi</w:t>
            </w:r>
          </w:p>
        </w:tc>
        <w:tc>
          <w:tcPr>
            <w:tcW w:w="1439" w:type="dxa"/>
            <w:tcBorders>
              <w:top w:val="single" w:sz="4" w:space="0" w:color="000000"/>
              <w:left w:val="single" w:sz="4" w:space="0" w:color="000000"/>
              <w:bottom w:val="single" w:sz="4" w:space="0" w:color="000000"/>
            </w:tcBorders>
            <w:shd w:val="clear" w:color="auto" w:fill="FFFFFF"/>
          </w:tcPr>
          <w:p w14:paraId="6D87C7AE"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0D045A12" w14:textId="77777777" w:rsidR="00572A86" w:rsidRDefault="007944B8">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12</w:t>
            </w:r>
          </w:p>
        </w:tc>
      </w:tr>
    </w:tbl>
    <w:p w14:paraId="4F1BD250" w14:textId="77777777" w:rsidR="00572A86" w:rsidRDefault="007944B8">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Spadki poprzeczne warstwy z betonu asfaltowego na odcinkach prostych i na łukach należy mierzyć 10 razy na odcinku drogi o długości 1 km i powinny być one zgodne z istniejącymi, z tolerancją ± 0,5 %. Rzędne wysokościowe warstwy powinny być zgodne z wymaganymi, wynikającymi z parametrów istniejącej nawierzchni, z tolerancją ± 1 cm. Oś warstwy w planie powinna być usytuowana zgodnie z wymaganiami, wynikającymi z parametrów istniejącej nawierzchni, z tolerancją ± 5 cm. Grubość warstwy należy mierzyć 3 razy (w osi i na brzegach warstwy) co 25 m i powinna być ona zgodna z grubością projektową z tolerancją± 10 %.</w:t>
      </w:r>
    </w:p>
    <w:p w14:paraId="796021CC" w14:textId="77777777" w:rsidR="00572A86" w:rsidRDefault="007944B8">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Złącza w nawierzchni należy oceniać na całej długości złącza i powinny być wykonane w linii prostej, równolegle lub prostopadle do osi. Złącza w konstrukcji wielowarstwowej powinny być przesunięte względem siebie co najmniej o 15 cm. Złącza powinny być całkowicie związane, a przylegające warstwy powinny być w jednym poziomie.</w:t>
      </w:r>
    </w:p>
    <w:p w14:paraId="77FD8E09" w14:textId="77777777" w:rsidR="00572A86" w:rsidRDefault="007944B8">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Krawędź i obramowanie warstwy należy oceniać i mierzyć na całej długości. Warstwa ścieralna przy opornikach drogowych i urządzeniach w jezdni powinna wystawać 3-^5 mm ponad ich powierzchnię. Warstwy bez oporników powinny być równo obcięte lub wyprofilowane oraz pokryte asfaltem.</w:t>
      </w:r>
    </w:p>
    <w:p w14:paraId="553EE415" w14:textId="77777777" w:rsidR="00572A86" w:rsidRDefault="007944B8">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Wygląd warstwy z betonu asfaltowego należy oceniać w sposób ciągły. Warstwa powinna mieć jednolitą teksturę, bez miejsc </w:t>
      </w:r>
      <w:proofErr w:type="spellStart"/>
      <w:r>
        <w:rPr>
          <w:rFonts w:ascii="Calibri" w:eastAsia="Calibri" w:hAnsi="Calibri" w:cs="Calibri"/>
          <w:color w:val="000000"/>
          <w:sz w:val="22"/>
          <w:szCs w:val="22"/>
        </w:rPr>
        <w:t>przeasfaltowanych</w:t>
      </w:r>
      <w:proofErr w:type="spellEnd"/>
      <w:r>
        <w:rPr>
          <w:rFonts w:ascii="Calibri" w:eastAsia="Calibri" w:hAnsi="Calibri" w:cs="Calibri"/>
          <w:color w:val="000000"/>
          <w:sz w:val="22"/>
          <w:szCs w:val="22"/>
        </w:rPr>
        <w:t>, porowatych, łuszczących się i spękanych.</w:t>
      </w:r>
    </w:p>
    <w:p w14:paraId="68C0DA5C" w14:textId="77777777" w:rsidR="00572A86" w:rsidRDefault="007944B8">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Zagęszczenie i wolna przestrzeń w warstwie należy badać pobierając 2 próbki z każdego pasa o długości do 1000m.</w:t>
      </w:r>
    </w:p>
    <w:p w14:paraId="4985E85E" w14:textId="77777777" w:rsidR="00572A86" w:rsidRDefault="00572A86">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4" w:name="_heading=h.3as4poj" w:colFirst="0" w:colLast="0"/>
      <w:bookmarkEnd w:id="24"/>
    </w:p>
    <w:p w14:paraId="31303C09"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nawierzchni z kostki drogowej kamiennej </w:t>
      </w:r>
    </w:p>
    <w:p w14:paraId="227BEF9A" w14:textId="77777777" w:rsidR="00572A86" w:rsidRDefault="007944B8">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wykonania nawierzchni z kostki kamiennej należy zastosować podsypkę cementowo-piaskową 1:4. Grubość podsypki powinna być zgodna z dokumentacją projektową i wynosić 3cm. Współczynnik wodno-cementowy dla podsypki cementowo-piaskowej powinien wynosić od 0,20 do 0,25, a wytrzymałość na ściskanie R7 = 10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R28 = 14MPa. Kostkę układać można w deseń rzędowy prosty, który uzyskuje się przez układanie kostki rzędami prostopadłymi do osi drogi. Szerokość spoin między kostkami nie powinna przekraczać 12 mm. Spoiny w sąsiednich rzędach powinny się mijać co najmniej o 1/4 szerokości kostki. Kostka użyta do układania nawierzchni powinna być jednego gatunku i z jednego rodzaju skał. Szczeliny dylatacyjne poprzeczne należy stosować w nawierzchniach z kostki na zaprawie cementowej w odległości od 10 do 15 m oraz w takich miejscach, w których występuje dylatacja podbudowy lub zmiana sztywności podłoża. </w:t>
      </w:r>
    </w:p>
    <w:p w14:paraId="07A3A19E" w14:textId="77777777" w:rsidR="00572A86" w:rsidRDefault="007944B8">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na zaprawie cementowo-piaskowej można układać bez środków ochronnych przed mrozem, jeżeli temperatura otoczenia jest +5°C lub wyższa. Nie należy układać kostki w temperaturze 0°C lub niższej. Jeżeli w ciągu dnia temperatura utrzymuje się w granicach od 0 do +5°C, a w nocy spodziewane są przymrozki, kostkę należy zabezpieczyć przez nakrycie materiałem o złym przewodnictwie cieplnym. </w:t>
      </w:r>
    </w:p>
    <w:p w14:paraId="2B7BE67E" w14:textId="77777777" w:rsidR="00572A86" w:rsidRDefault="007944B8">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Kostki, które pękną podczas ubijania powinny być wymienione na całe. </w:t>
      </w:r>
    </w:p>
    <w:p w14:paraId="4B463D2D" w14:textId="77777777" w:rsidR="00572A86" w:rsidRDefault="007944B8">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Ostatni rząd kostek na zakończenie działki roboczej, przy ubijaniu należy zabezpieczyć przed przesunięciem za pomocą np. belki drewnianej umocowanej szpilkami stalowymi w podłożu. </w:t>
      </w:r>
    </w:p>
    <w:p w14:paraId="60A5B32C" w14:textId="77777777" w:rsidR="00572A86" w:rsidRDefault="007944B8">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Spoiny należy wypełnić zaprawą cementowo-piaskową. Wypełnienie spoin zaprawą cementowo-piaskową powinno być wykonane z zachowaniem następujących wymagań:</w:t>
      </w:r>
    </w:p>
    <w:p w14:paraId="4FD7984B" w14:textId="77777777" w:rsidR="00572A86" w:rsidRDefault="007944B8">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wytrzymałość zaprawy na ściskanie powinna wynosić nie mniej niż 30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w:t>
      </w:r>
    </w:p>
    <w:p w14:paraId="1CFA5203" w14:textId="77777777" w:rsidR="00572A86" w:rsidRDefault="007944B8">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rozpoczęciem zalewania kostka powinna być oczyszczona i dobrze zwilżona wodą z dodatkiem 1% cementu w stosunku objętościowym,</w:t>
      </w:r>
    </w:p>
    <w:p w14:paraId="4A28EB9F" w14:textId="77777777" w:rsidR="00572A86" w:rsidRDefault="007944B8">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wypełnienia spoin zaprawą cementowo-piaskową powinna wynosić około 5 cm,</w:t>
      </w:r>
    </w:p>
    <w:p w14:paraId="1EE404E3" w14:textId="77777777" w:rsidR="00572A86" w:rsidRDefault="007944B8">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zaprawa cementowo-piaskową powinna całkowicie wypełnić spoiny i tworzyć monolit z kostką.</w:t>
      </w:r>
    </w:p>
    <w:p w14:paraId="2C9C2EF0" w14:textId="77777777" w:rsidR="00572A86" w:rsidRDefault="007944B8">
      <w:pPr>
        <w:keepLines/>
        <w:numPr>
          <w:ilvl w:val="0"/>
          <w:numId w:val="23"/>
        </w:numPr>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 celu pielęgnacji nawierzchni kostkowej, której spoiny są wypełnione zaprawą cementowo-piaskową należy polać nawierzchnię wodą w kilka godzin po zalaniu spoin i utrzymywać ją w stałej wilgotności przez okres jednej doby. Następnie nawierzchnię należy przykryć piaskiem i utrzymywać w stałej wilgotności przez okres 7 dni. Po upływie od 2 do 3 tygodni - w zależności od warunków atmosferycznych, nawierzchnię należy oczyścić dokładnie z piasku i można oddać do ruchu.</w:t>
      </w:r>
    </w:p>
    <w:p w14:paraId="7EC1890C" w14:textId="77777777" w:rsidR="00572A86" w:rsidRDefault="00572A86">
      <w:pPr>
        <w:keepLines/>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bookmarkStart w:id="25" w:name="_heading=h.1pxezwc" w:colFirst="0" w:colLast="0"/>
      <w:bookmarkEnd w:id="25"/>
    </w:p>
    <w:p w14:paraId="61B385B9"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nawierzchni z płyt betonowych 35x35x5cm i 50x50x7cm oraz płyt betonowych sześciokątnych (trylinka) i płyt betonowych kwadratowych </w:t>
      </w:r>
    </w:p>
    <w:p w14:paraId="3F1DE77E" w14:textId="77777777" w:rsidR="00572A86" w:rsidRDefault="007944B8">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Podłoże może stanowić grunt rodzimy lub nasypowy, na którym bezpośrednio układana jest nawierzchnia. Grunt podłoża powinien być jednolity, przepuszczalny i zabezpieczony przed skutkami przemarzania. Podbudowę pod ułożenie nawierzchni z </w:t>
      </w:r>
      <w:proofErr w:type="spellStart"/>
      <w:r>
        <w:rPr>
          <w:rFonts w:ascii="Calibri" w:eastAsia="Calibri" w:hAnsi="Calibri" w:cs="Calibri"/>
          <w:color w:val="000000"/>
          <w:sz w:val="22"/>
          <w:szCs w:val="22"/>
        </w:rPr>
        <w:t>ptyt</w:t>
      </w:r>
      <w:proofErr w:type="spellEnd"/>
      <w:r>
        <w:rPr>
          <w:rFonts w:ascii="Calibri" w:eastAsia="Calibri" w:hAnsi="Calibri" w:cs="Calibri"/>
          <w:color w:val="000000"/>
          <w:sz w:val="22"/>
          <w:szCs w:val="22"/>
        </w:rPr>
        <w:t xml:space="preserve"> betonowych może stanowić podłoże z gruntu rodzimego, ulepszone piaskiem, żwirem, odpadami z kamieniołomów, wyprofilowane i zagęszczone do </w:t>
      </w:r>
      <w:proofErr w:type="spellStart"/>
      <w:r>
        <w:rPr>
          <w:rFonts w:ascii="Calibri" w:eastAsia="Calibri" w:hAnsi="Calibri" w:cs="Calibri"/>
          <w:color w:val="000000"/>
          <w:sz w:val="22"/>
          <w:szCs w:val="22"/>
        </w:rPr>
        <w:t>Is</w:t>
      </w:r>
      <w:proofErr w:type="spellEnd"/>
      <w:r>
        <w:rPr>
          <w:rFonts w:ascii="Calibri" w:eastAsia="Calibri" w:hAnsi="Calibri" w:cs="Calibri"/>
          <w:color w:val="000000"/>
          <w:sz w:val="22"/>
          <w:szCs w:val="22"/>
        </w:rPr>
        <w:t xml:space="preserve"> &gt; 1,0. Na podsypkę (warstwę wyrównawczą) należy stosować piasek gruby wg PN-EN 12620+A1:2010 lub równoważnej.</w:t>
      </w:r>
    </w:p>
    <w:p w14:paraId="7946AC14" w14:textId="77777777" w:rsidR="00572A86" w:rsidRDefault="007944B8">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Sposób (deseń) układania płyt betonowych na odcinkach prostych i łukach powinien być zgodny z układem istniejącej (rozebranej) nawierzchni. Przy wypełnianiu spoin przez zamulanie - piasek powinien zawierać od 3 do 8% frakcji mniejszej od 0,05 mm, a zamulenie powinno być wykonane na pełną wysokość płyt. Wypełnienie spoin zaprawą cementową o wytrzymałości R28 &gt; 20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powinno być wykonane w głąb nie mniej niż na 2/3 wysokości płyty. Przy wypełnianiu spoin masą zalewową - przed zalaniem spoiny powinny być wypełnione piaskiem do 2/3 wysokości płyt.</w:t>
      </w:r>
    </w:p>
    <w:p w14:paraId="27447D45" w14:textId="77777777" w:rsidR="00572A86" w:rsidRDefault="007944B8">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Szczeliny dylatacyjne w nawierzchni z płyt betonowych powinny być stosowane tylko w przypadku wypełnienia spoin zaprawą cementową. Szczeliny dylatacyjne powinny być wypełnione masą zalewową w taki sam sposób, jaki stosuje się przy wypełnianiu spoin masą zalewową.</w:t>
      </w:r>
    </w:p>
    <w:p w14:paraId="0986793E" w14:textId="77777777" w:rsidR="00572A86" w:rsidRDefault="007944B8">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nawierzchniach dróg i ulic, wykonywanych z płyt sześciokątnych i kwadratowych szczeliny dylatacyjne powinny być wykonane, co 10 do 15 m. Szczeliny dylatacyjne powinny być wykonane również między nawierzchnią i krawężnikami. Na nawierzchniach placów oprócz szczelin poprzecznych powinny być wykonane szczeliny podłużne w odstępach co 5 do 7 m.</w:t>
      </w:r>
    </w:p>
    <w:p w14:paraId="06E5E358" w14:textId="77777777" w:rsidR="00572A86" w:rsidRDefault="00572A86">
      <w:pPr>
        <w:pBdr>
          <w:top w:val="nil"/>
          <w:left w:val="nil"/>
          <w:bottom w:val="nil"/>
          <w:right w:val="nil"/>
          <w:between w:val="nil"/>
        </w:pBdr>
        <w:shd w:val="clear" w:color="auto" w:fill="FFFFFF"/>
        <w:spacing w:before="115" w:line="240" w:lineRule="auto"/>
        <w:ind w:left="0" w:hanging="2"/>
        <w:jc w:val="both"/>
        <w:rPr>
          <w:rFonts w:ascii="Calibri" w:eastAsia="Calibri" w:hAnsi="Calibri" w:cs="Calibri"/>
          <w:color w:val="000000"/>
          <w:sz w:val="22"/>
          <w:szCs w:val="22"/>
        </w:rPr>
      </w:pPr>
      <w:bookmarkStart w:id="26" w:name="_heading=h.49x2ik5" w:colFirst="0" w:colLast="0"/>
      <w:bookmarkEnd w:id="26"/>
    </w:p>
    <w:p w14:paraId="3C4F53B4" w14:textId="77777777" w:rsidR="00572A86" w:rsidRDefault="007944B8">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krawężników betonowych i obrzeży</w:t>
      </w:r>
    </w:p>
    <w:p w14:paraId="4A4AE4BA"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obramowania nawierzchni z betonowych kostek brukowych można stosować krawężniki uliczne i obrzeża betonowe wg BN-80/6775-03/94 lub równoważnej lub inne typy krawężników zgodne z dokumentacją projektową i zaakceptowane przez Inspektora Nadzoru. </w:t>
      </w:r>
    </w:p>
    <w:p w14:paraId="36358039"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Wymiary wykopu powinny odpowiadać wymiarom ławy w planie z uwzględnieniem w szerokości dna wykopu ew. konstrukcji szalunku. </w:t>
      </w:r>
    </w:p>
    <w:p w14:paraId="3D84DD94"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Wskaźnik zagęszczenia dna wykopu wykonanego koryta pod ławę powinien wynosić, co najmniej 0,97 według normalnej metody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w:t>
      </w:r>
    </w:p>
    <w:p w14:paraId="2D354C8F"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Ławy betonowe zwykłe w gruntach spoistych wykonuje się bez szalowania, przy gruntach sypkich należy stosować szalowanie. </w:t>
      </w:r>
    </w:p>
    <w:p w14:paraId="70C6E2F6"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Ławy betonowe z oporem wykonuje się w szalowaniu. Beton rozścielony w szalowaniu lub bezpośrednio w korycie powinien być wyrównywany warstwami. Betonowanie ław należy wykonywać zgodnie z wymaganiami PN-B-06251 lub równoważnej, przy czym należy stosować, co 50m szczeliny dylatacyjne wypełnione bitumiczną masą zalewową. </w:t>
      </w:r>
    </w:p>
    <w:p w14:paraId="18FDEF7B"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Światło (odległość górnej powierzchni krawężnika od jezdni) powinno być zgodne z ustaleniami dokumentacji projektowej, a w przypadku braku takich ustaleń powinno wynosić od 10 do 12cm. W przypadkach wyjątkowych (np. ze względu na „wyrobienie” ścieku) może być zmniejszone do 6cm lub zwiększone do 16cm. </w:t>
      </w:r>
    </w:p>
    <w:p w14:paraId="60D8FBC0"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Zewnętrzna ściana krawężnika od strony chodnika powinna być po ustawieniu krawężnika obsypana piaskiem, żwirem, tłuczniem lub miejscowym gruntem przepuszczalnym, starannie ubitym. </w:t>
      </w:r>
    </w:p>
    <w:p w14:paraId="7F3EEC2F"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Spoiny krawężników nie powinny przekraczać szerokości 1cm. Spoiny należy wypełnić żwirem, piaskiem lub zaprawą cementowo-piaskową, przygotowaną w stosunku 1:2. </w:t>
      </w:r>
    </w:p>
    <w:p w14:paraId="2BF7B572"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Zalewanie spoin krawężników zaprawą cementowo-piaskową stosuje się wyłącznie do krawężników ustawionych na ławie betonowej. </w:t>
      </w:r>
    </w:p>
    <w:p w14:paraId="58F89F51"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Spoiny krawężników przed zalaniem zaprawą należy oczyścić i zmyć wodą. </w:t>
      </w:r>
    </w:p>
    <w:p w14:paraId="5504DC83" w14:textId="77777777" w:rsidR="00572A86" w:rsidRDefault="007944B8">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Dla zabezpieczenia przed wpływami temperatury krawężniki ustawione na podsypce cementowo-piaskowej i o spoinach zalanych zaprawą należy zalewać, co 50m bitumiczną masą zalewową nad szczeliną dylatacyjną ławy.</w:t>
      </w:r>
    </w:p>
    <w:p w14:paraId="368C719F" w14:textId="77777777" w:rsidR="00572A86" w:rsidRDefault="00572A86">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7" w:name="_heading=h.2p2csry" w:colFirst="0" w:colLast="0"/>
      <w:bookmarkEnd w:id="27"/>
    </w:p>
    <w:p w14:paraId="44EFA70B" w14:textId="77777777" w:rsidR="00572A86" w:rsidRDefault="007944B8">
      <w:pPr>
        <w:keepNext/>
        <w:numPr>
          <w:ilvl w:val="0"/>
          <w:numId w:val="33"/>
        </w:numPr>
        <w:pBdr>
          <w:top w:val="nil"/>
          <w:left w:val="nil"/>
          <w:bottom w:val="nil"/>
          <w:right w:val="nil"/>
          <w:between w:val="nil"/>
        </w:pBdr>
        <w:spacing w:line="240" w:lineRule="auto"/>
        <w:ind w:left="0" w:hanging="2"/>
        <w:rPr>
          <w:rFonts w:ascii="Calibri" w:eastAsia="Calibri" w:hAnsi="Calibri" w:cs="Calibri"/>
        </w:rPr>
      </w:pPr>
      <w:bookmarkStart w:id="28" w:name="_heading=h.147n2zr" w:colFirst="0" w:colLast="0"/>
      <w:bookmarkEnd w:id="28"/>
      <w:r>
        <w:rPr>
          <w:rFonts w:ascii="Calibri" w:eastAsia="Calibri" w:hAnsi="Calibri" w:cs="Calibri"/>
          <w:b/>
          <w:color w:val="000000"/>
        </w:rPr>
        <w:t>KONTROLA JAKOŚCI, ODBIÓR WYROBÓW I ROBÓT BUDOWLANYCH</w:t>
      </w:r>
    </w:p>
    <w:p w14:paraId="38E8395F"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29" w:name="_heading=h.3o7alnk" w:colFirst="0" w:colLast="0"/>
      <w:bookmarkEnd w:id="29"/>
      <w:r>
        <w:rPr>
          <w:rFonts w:ascii="Calibri" w:eastAsia="Calibri" w:hAnsi="Calibri" w:cs="Calibri"/>
          <w:b/>
          <w:color w:val="000000"/>
          <w:sz w:val="22"/>
          <w:szCs w:val="22"/>
        </w:rPr>
        <w:t>Wymagania ogólne</w:t>
      </w:r>
    </w:p>
    <w:p w14:paraId="3FEDCC53" w14:textId="77777777" w:rsidR="00572A86" w:rsidRDefault="007944B8">
      <w:pPr>
        <w:keepNext/>
        <w:numPr>
          <w:ilvl w:val="0"/>
          <w:numId w:val="27"/>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30" w:name="_heading=h.23ckvvd" w:colFirst="0" w:colLast="0"/>
      <w:bookmarkEnd w:id="30"/>
      <w:r>
        <w:rPr>
          <w:rFonts w:ascii="Calibri" w:eastAsia="Calibri" w:hAnsi="Calibri" w:cs="Calibri"/>
          <w:color w:val="000000"/>
          <w:sz w:val="22"/>
          <w:szCs w:val="22"/>
        </w:rPr>
        <w:t>Wykonawca jest odpowiedzialny za pełną kontrolę jakości robót i stosowanych materiałów i będzie przeprowadzał pomiary i badania materiałów oraz robót. Inspektor nadzoru ustali, jaki system kontroli jest konieczny do powyższego zakresu robót.</w:t>
      </w:r>
    </w:p>
    <w:p w14:paraId="20C46BB0" w14:textId="77777777" w:rsidR="00572A86" w:rsidRDefault="007944B8">
      <w:pPr>
        <w:keepNext/>
        <w:numPr>
          <w:ilvl w:val="0"/>
          <w:numId w:val="27"/>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Kontrola winna obejmować:</w:t>
      </w:r>
    </w:p>
    <w:p w14:paraId="2A64091E"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użytego materiału,</w:t>
      </w:r>
    </w:p>
    <w:p w14:paraId="5ABE96FE"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atesty na materiały i urządzenia,</w:t>
      </w:r>
    </w:p>
    <w:p w14:paraId="5CB378F8"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6C34B51B" w14:textId="77777777" w:rsidR="00572A86" w:rsidRDefault="007944B8">
      <w:pPr>
        <w:numPr>
          <w:ilvl w:val="0"/>
          <w:numId w:val="2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aprobaty techniczne,</w:t>
      </w:r>
    </w:p>
    <w:p w14:paraId="3D14C60B"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proofErr w:type="spellStart"/>
      <w:r>
        <w:rPr>
          <w:rFonts w:ascii="Calibri" w:eastAsia="Calibri" w:hAnsi="Calibri" w:cs="Calibri"/>
          <w:color w:val="000000"/>
          <w:sz w:val="22"/>
          <w:szCs w:val="22"/>
        </w:rPr>
        <w:t>protokóły</w:t>
      </w:r>
      <w:proofErr w:type="spellEnd"/>
      <w:r>
        <w:rPr>
          <w:rFonts w:ascii="Calibri" w:eastAsia="Calibri" w:hAnsi="Calibri" w:cs="Calibri"/>
          <w:color w:val="000000"/>
          <w:sz w:val="22"/>
          <w:szCs w:val="22"/>
        </w:rPr>
        <w:t xml:space="preserve"> odbiorów częściowych,</w:t>
      </w:r>
    </w:p>
    <w:p w14:paraId="60FE69F0"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projektem,</w:t>
      </w:r>
    </w:p>
    <w:p w14:paraId="1B330324" w14:textId="77777777" w:rsidR="00572A86" w:rsidRDefault="007944B8">
      <w:pPr>
        <w:numPr>
          <w:ilvl w:val="0"/>
          <w:numId w:val="28"/>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obowiązującymi przepisami i normami,</w:t>
      </w:r>
    </w:p>
    <w:p w14:paraId="0F0C4596" w14:textId="77777777" w:rsidR="00572A86" w:rsidRDefault="007944B8">
      <w:pPr>
        <w:numPr>
          <w:ilvl w:val="0"/>
          <w:numId w:val="28"/>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z przedmiarem robót,</w:t>
      </w:r>
    </w:p>
    <w:p w14:paraId="64D6463C"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i trwałości wykonania robót,</w:t>
      </w:r>
    </w:p>
    <w:p w14:paraId="0B515539"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zachowania warunków bhp i ochrony </w:t>
      </w:r>
      <w:proofErr w:type="spellStart"/>
      <w:r>
        <w:rPr>
          <w:rFonts w:ascii="Calibri" w:eastAsia="Calibri" w:hAnsi="Calibri" w:cs="Calibri"/>
          <w:color w:val="000000"/>
          <w:sz w:val="22"/>
          <w:szCs w:val="22"/>
        </w:rPr>
        <w:t>ppoż</w:t>
      </w:r>
      <w:proofErr w:type="spellEnd"/>
      <w:r>
        <w:rPr>
          <w:rFonts w:ascii="Calibri" w:eastAsia="Calibri" w:hAnsi="Calibri" w:cs="Calibri"/>
          <w:color w:val="000000"/>
          <w:sz w:val="22"/>
          <w:szCs w:val="22"/>
        </w:rPr>
        <w:t>,</w:t>
      </w:r>
    </w:p>
    <w:p w14:paraId="4A3F34FD"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75E09A1C"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oceny lub opinie higieniczne Państwowego Zakładu higieny,</w:t>
      </w:r>
    </w:p>
    <w:p w14:paraId="448519F6"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certyfikaty na materiały Polskiego Centrum Badań i Certyfikacji,</w:t>
      </w:r>
    </w:p>
    <w:p w14:paraId="4141BA86" w14:textId="77777777" w:rsidR="00572A86" w:rsidRDefault="007944B8">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uprzątnięcie</w:t>
      </w:r>
      <w:r>
        <w:rPr>
          <w:rFonts w:ascii="Calibri" w:eastAsia="Calibri" w:hAnsi="Calibri" w:cs="Calibri"/>
          <w:color w:val="000000"/>
          <w:sz w:val="22"/>
          <w:szCs w:val="22"/>
        </w:rPr>
        <w:t xml:space="preserve"> terenu robót po ich zakończeniu.</w:t>
      </w:r>
    </w:p>
    <w:p w14:paraId="119D7D73" w14:textId="77777777" w:rsidR="00572A86" w:rsidRDefault="007944B8">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badania i pomiary należy przeprowadzać zgodnie z wymaganiami norm. W przypadku braku norm można stosować wytyczne krajowe, lub inne procedury zaakceptowane przez Inspektora Nadzoru. Oryginały wyników badań należy przekazać Inspektorowi Nadzoru. </w:t>
      </w:r>
    </w:p>
    <w:p w14:paraId="61E2654A" w14:textId="77777777" w:rsidR="00572A86" w:rsidRDefault="007944B8">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1" w:name="_heading=h.ihv636" w:colFirst="0" w:colLast="0"/>
      <w:bookmarkEnd w:id="31"/>
      <w:r>
        <w:rPr>
          <w:rFonts w:ascii="Calibri" w:eastAsia="Calibri" w:hAnsi="Calibri" w:cs="Calibri"/>
          <w:color w:val="000000"/>
          <w:sz w:val="22"/>
          <w:szCs w:val="22"/>
        </w:rPr>
        <w:t xml:space="preserve">Wszystkie koszty związane z prowadzeniem badań materiałów i robót ponosi Wykonawca. </w:t>
      </w:r>
    </w:p>
    <w:p w14:paraId="4554B0C8"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Podbudowa</w:t>
      </w:r>
    </w:p>
    <w:p w14:paraId="5D0ECDE2" w14:textId="77777777" w:rsidR="00572A86" w:rsidRDefault="007944B8">
      <w:pPr>
        <w:keepNext/>
        <w:numPr>
          <w:ilvl w:val="0"/>
          <w:numId w:val="1"/>
        </w:num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bookmarkStart w:id="32" w:name="_heading=h.5alinohxwtyr" w:colFirst="0" w:colLast="0"/>
      <w:bookmarkEnd w:id="32"/>
      <w:r>
        <w:rPr>
          <w:rFonts w:ascii="Calibri" w:eastAsia="Calibri" w:hAnsi="Calibri" w:cs="Calibri"/>
          <w:color w:val="000000"/>
          <w:sz w:val="22"/>
          <w:szCs w:val="22"/>
          <w:u w:val="single"/>
        </w:rPr>
        <w:t>Szerokość podbudowy</w:t>
      </w:r>
    </w:p>
    <w:p w14:paraId="1BFD402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Szerokość podbudowy nie może różnić się od szerokości projektowanej o więcej niż +10 cm, -5 cm.</w:t>
      </w:r>
    </w:p>
    <w:p w14:paraId="5D92E4F8" w14:textId="77777777" w:rsidR="00572A86" w:rsidRDefault="007944B8">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3" w:name="_heading=h.4x1mjoqhsmd4" w:colFirst="0" w:colLast="0"/>
      <w:bookmarkEnd w:id="33"/>
      <w:r>
        <w:rPr>
          <w:rFonts w:ascii="Calibri" w:eastAsia="Calibri" w:hAnsi="Calibri" w:cs="Calibri"/>
          <w:color w:val="000000"/>
          <w:sz w:val="22"/>
          <w:szCs w:val="22"/>
          <w:u w:val="single"/>
        </w:rPr>
        <w:t>Równość podbudowy</w:t>
      </w:r>
    </w:p>
    <w:p w14:paraId="6766DEE6"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podbudowy należy mierzyć 4-metrową łatą. Nierówności poprzeczne podbudowy należy mierzyć 4-metrową łatą. </w:t>
      </w:r>
    </w:p>
    <w:p w14:paraId="7082117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podbudowy nie mogą przekraczać:</w:t>
      </w:r>
    </w:p>
    <w:p w14:paraId="48E5025C"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- 12 mm dla podbudowy zasadniczej,</w:t>
      </w:r>
    </w:p>
    <w:p w14:paraId="14984E4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- 15 mm dla podbudowy pomocniczej.</w:t>
      </w:r>
    </w:p>
    <w:p w14:paraId="31FFBEE1" w14:textId="77777777" w:rsidR="00572A86" w:rsidRDefault="007944B8">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4" w:name="_heading=h.qx00rthe8ik" w:colFirst="0" w:colLast="0"/>
      <w:bookmarkEnd w:id="34"/>
      <w:r>
        <w:rPr>
          <w:rFonts w:ascii="Calibri" w:eastAsia="Calibri" w:hAnsi="Calibri" w:cs="Calibri"/>
          <w:color w:val="000000"/>
          <w:sz w:val="22"/>
          <w:szCs w:val="22"/>
          <w:u w:val="single"/>
        </w:rPr>
        <w:t>Spadki poprzeczne podbudowy</w:t>
      </w:r>
    </w:p>
    <w:p w14:paraId="3B4A8359"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podbudowy na prostych i łukach powinny być zgodne z dokumentacją projektową z tolerancją </w:t>
      </w:r>
      <w:r>
        <w:rPr>
          <w:rFonts w:ascii="Calibri" w:eastAsia="Calibri" w:hAnsi="Calibri" w:cs="Calibri"/>
          <w:sz w:val="22"/>
          <w:szCs w:val="22"/>
        </w:rPr>
        <w:t>±</w:t>
      </w:r>
      <w:r>
        <w:rPr>
          <w:rFonts w:ascii="Calibri" w:eastAsia="Calibri" w:hAnsi="Calibri" w:cs="Calibri"/>
          <w:color w:val="000000"/>
          <w:sz w:val="22"/>
          <w:szCs w:val="22"/>
        </w:rPr>
        <w:t xml:space="preserve"> 0,5 %.</w:t>
      </w:r>
    </w:p>
    <w:p w14:paraId="349DBD5B" w14:textId="77777777" w:rsidR="00572A86" w:rsidRDefault="007944B8">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5" w:name="_heading=h.uadk4mdauet7" w:colFirst="0" w:colLast="0"/>
      <w:bookmarkEnd w:id="35"/>
      <w:r>
        <w:rPr>
          <w:rFonts w:ascii="Calibri" w:eastAsia="Calibri" w:hAnsi="Calibri" w:cs="Calibri"/>
          <w:color w:val="000000"/>
          <w:sz w:val="22"/>
          <w:szCs w:val="22"/>
          <w:u w:val="single"/>
        </w:rPr>
        <w:lastRenderedPageBreak/>
        <w:t>Rzędne wysokościowe podbudowy</w:t>
      </w:r>
    </w:p>
    <w:p w14:paraId="2276259A"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Różnice pomiędzy rzędnymi wysokościowymi podbudowy i rzędnymi projektowanymi nie powinny przekraczać ± 1 cm,</w:t>
      </w:r>
    </w:p>
    <w:p w14:paraId="298D3ABF"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A1374E6" w14:textId="77777777" w:rsidR="00572A86" w:rsidRDefault="007944B8">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6" w:name="_heading=h.op98r2bapdw5" w:colFirst="0" w:colLast="0"/>
      <w:bookmarkEnd w:id="36"/>
      <w:r>
        <w:rPr>
          <w:rFonts w:ascii="Calibri" w:eastAsia="Calibri" w:hAnsi="Calibri" w:cs="Calibri"/>
          <w:color w:val="000000"/>
          <w:sz w:val="22"/>
          <w:szCs w:val="22"/>
          <w:u w:val="single"/>
        </w:rPr>
        <w:t>Grubość podbudowy</w:t>
      </w:r>
    </w:p>
    <w:p w14:paraId="47786848"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Grubość podbudowy nie może różnić się od grubości projektowanej o więcej niż:</w:t>
      </w:r>
    </w:p>
    <w:p w14:paraId="71456BFE" w14:textId="77777777" w:rsidR="00572A86" w:rsidRDefault="007944B8">
      <w:pPr>
        <w:numPr>
          <w:ilvl w:val="0"/>
          <w:numId w:val="2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podbudowy zasadniczej </w:t>
      </w:r>
      <w:r>
        <w:rPr>
          <w:rFonts w:ascii="Calibri" w:eastAsia="Calibri" w:hAnsi="Calibri" w:cs="Calibri"/>
          <w:sz w:val="22"/>
          <w:szCs w:val="22"/>
        </w:rPr>
        <w:t>±</w:t>
      </w:r>
      <w:r>
        <w:rPr>
          <w:rFonts w:ascii="Calibri" w:eastAsia="Calibri" w:hAnsi="Calibri" w:cs="Calibri"/>
          <w:color w:val="000000"/>
          <w:sz w:val="22"/>
          <w:szCs w:val="22"/>
        </w:rPr>
        <w:t xml:space="preserve"> 2 cm,</w:t>
      </w:r>
    </w:p>
    <w:p w14:paraId="0F4CE750" w14:textId="77777777" w:rsidR="00572A86" w:rsidRDefault="007944B8">
      <w:pPr>
        <w:keepNext/>
        <w:numPr>
          <w:ilvl w:val="0"/>
          <w:numId w:val="1"/>
        </w:numPr>
        <w:pBdr>
          <w:top w:val="nil"/>
          <w:left w:val="nil"/>
          <w:bottom w:val="nil"/>
          <w:right w:val="nil"/>
          <w:between w:val="nil"/>
        </w:pBdr>
        <w:spacing w:after="60" w:line="240" w:lineRule="auto"/>
        <w:ind w:left="0" w:hanging="2"/>
        <w:jc w:val="both"/>
        <w:rPr>
          <w:rFonts w:ascii="Calibri" w:eastAsia="Calibri" w:hAnsi="Calibri" w:cs="Calibri"/>
          <w:sz w:val="22"/>
          <w:szCs w:val="22"/>
        </w:rPr>
      </w:pPr>
      <w:bookmarkStart w:id="37" w:name="_heading=h.p0ts9b23qoll" w:colFirst="0" w:colLast="0"/>
      <w:bookmarkEnd w:id="37"/>
      <w:r>
        <w:rPr>
          <w:rFonts w:ascii="Calibri" w:eastAsia="Calibri" w:hAnsi="Calibri" w:cs="Calibri"/>
          <w:color w:val="000000"/>
          <w:sz w:val="22"/>
          <w:szCs w:val="22"/>
          <w:u w:val="single"/>
        </w:rPr>
        <w:t>Sprawdzenie podłoża i podbudowy</w:t>
      </w:r>
    </w:p>
    <w:p w14:paraId="14529B3E"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podłoża i podbudowy polega na stwierdzeniu ich zgodności z dokumentacją projektową i wymaganiami niniejszej specyfikacji technicznej.</w:t>
      </w:r>
    </w:p>
    <w:p w14:paraId="401A4F53"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8" w:name="_heading=h.32hioqz" w:colFirst="0" w:colLast="0"/>
      <w:bookmarkEnd w:id="38"/>
    </w:p>
    <w:p w14:paraId="4C61E6AA"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Podsypka</w:t>
      </w:r>
    </w:p>
    <w:p w14:paraId="62DAD47C" w14:textId="77777777" w:rsidR="00572A86" w:rsidRDefault="007944B8">
      <w:pPr>
        <w:numPr>
          <w:ilvl w:val="0"/>
          <w:numId w:val="2"/>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podsypki</w:t>
      </w:r>
    </w:p>
    <w:p w14:paraId="001672E4"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podsypki w zakresie grubości i wymaganych spadków poprzecznych i podłużnych polega na stwierdzeniu zgodności z  wymaganiami niniejszej specyfikacji technicznej.</w:t>
      </w:r>
    </w:p>
    <w:p w14:paraId="78424022" w14:textId="77777777" w:rsidR="00572A86" w:rsidRDefault="007944B8">
      <w:pPr>
        <w:numPr>
          <w:ilvl w:val="0"/>
          <w:numId w:val="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wykonania nawierzchni</w:t>
      </w:r>
    </w:p>
    <w:p w14:paraId="20A3581C"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prawidłowości wykonania nawierzchni z betonowych kostek brukowych polega na stwierdzeniu zgodności wykonania z dokumentacją projektową oraz wymaganiami niniejszej specyfikacji technicznej:</w:t>
      </w:r>
    </w:p>
    <w:p w14:paraId="3577DFBF"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pomierzenie szerokości spoin,</w:t>
      </w:r>
    </w:p>
    <w:p w14:paraId="52CF775B"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prawidłowości ubijania (wibrowania),</w:t>
      </w:r>
    </w:p>
    <w:p w14:paraId="7C22B725"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prawidłowości wypełnienia spoin,</w:t>
      </w:r>
    </w:p>
    <w:p w14:paraId="5AD90585"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czy przyjęty deseń (wzór) i kolor nawierzchni jest zachowany.</w:t>
      </w:r>
    </w:p>
    <w:p w14:paraId="52B59B8D" w14:textId="77777777" w:rsidR="00572A86" w:rsidRDefault="007944B8">
      <w:pPr>
        <w:numPr>
          <w:ilvl w:val="0"/>
          <w:numId w:val="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cech geometrycznych nawierzchni</w:t>
      </w:r>
    </w:p>
    <w:p w14:paraId="1C1D6111"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nawierzchni mierzone łatą lub </w:t>
      </w:r>
      <w:proofErr w:type="spellStart"/>
      <w:r>
        <w:rPr>
          <w:rFonts w:ascii="Calibri" w:eastAsia="Calibri" w:hAnsi="Calibri" w:cs="Calibri"/>
          <w:color w:val="000000"/>
          <w:sz w:val="22"/>
          <w:szCs w:val="22"/>
        </w:rPr>
        <w:t>planografem</w:t>
      </w:r>
      <w:proofErr w:type="spellEnd"/>
      <w:r>
        <w:rPr>
          <w:rFonts w:ascii="Calibri" w:eastAsia="Calibri" w:hAnsi="Calibri" w:cs="Calibri"/>
          <w:color w:val="000000"/>
          <w:sz w:val="22"/>
          <w:szCs w:val="22"/>
        </w:rPr>
        <w:t xml:space="preserve"> nie powinny przekraczać 0,8cm. Spadki poprzeczne nawierzchni powinny być zgodne z dokumentacją projektową z tolerancją +(-) 0,5%. Różnice pomiędzy rzędnymi wykonanej nawierzchni i rzędnymi projektowanymi nie powinny przekraczać +(-) 1,0cm. Szerokość nawierzchni nie może różnić się od szerokości projektowanej o więcej niż +(-) 5,0cm. Dopuszczalne odchyłki od projektowanej grubości podsypki nie powinny przekraczać +(-) 1,0cm. Dopuszczalne odchyłki od projektowanej grubości podsypki nie powinny przekraczać +(-) 1,0cm. Pomiary cech geometrycznych winny być przeprowadzane nie rzadziej niż 2 razy na 100m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nawierzchni i w punktach charakterystycznych dla niwelety lub przekroju poprzecznego oraz wszędzie tam gdzie poleci Inspektor Nadzoru.</w:t>
      </w:r>
    </w:p>
    <w:p w14:paraId="2E2191C8"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9" w:name="_heading=h.1hmsyys" w:colFirst="0" w:colLast="0"/>
      <w:bookmarkEnd w:id="39"/>
    </w:p>
    <w:p w14:paraId="58E27FDE"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Badania przed przystąpieniem do robót</w:t>
      </w:r>
    </w:p>
    <w:p w14:paraId="04505C2A" w14:textId="77777777" w:rsidR="00572A86" w:rsidRDefault="007944B8">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Badania krawężników</w:t>
      </w:r>
    </w:p>
    <w:p w14:paraId="19EC7C0B"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materiałów przeznaczonych do ustawiania krawężników betonowych i przedstawić wyniki tych badań Inspektorowi nadzoru do akceptacji.</w:t>
      </w:r>
    </w:p>
    <w:p w14:paraId="205F8219"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Sprawdzenie wyglądu zewnętrznego należy przeprowadzić na podstawie oględzin elementu przez pomiar i policzenie uszkodzeń występujących na powierzchniach i krawędziach elementu. Pomiary długości i głębokości uszkodzeń należy wykonać za pomocą przymiaru stalowego lub suwmiarki z dokładnością do 1mm. Sprawdzenie kształtu i wymiarów elementów należy przeprowadzić z dokładnością do 1mm przy użyciu suwmiarki oraz przymiaru stalowego lub taśmy zgodnie z wymaganiami tablicy 1 i 2. Sprawdzenie kątów prostych w narożach elementów wykonuje się przez przyłożenie kątownika do badanego naroża i zmierzenia odchyłek z dokładnością do 1mm. Sprawdzenie kształtu i wymiarów elementów należy przeprowadzić z dokładnością do 1mm przy użyciu suwmiarki oraz przymiaru stalowego lub taśmy zgodnie z wymaganiami </w:t>
      </w:r>
      <w:r>
        <w:rPr>
          <w:rFonts w:ascii="Calibri" w:eastAsia="Calibri" w:hAnsi="Calibri" w:cs="Calibri"/>
          <w:color w:val="000000"/>
          <w:sz w:val="22"/>
          <w:szCs w:val="22"/>
        </w:rPr>
        <w:lastRenderedPageBreak/>
        <w:t>tablicy 1 i 2. Sprawdzenie kątów prostych w narożach elementów wykonuje się przez przyłożenie kątownika do badanego naroża i zmierzenia odchyłek z dokładnością do 1mm.</w:t>
      </w:r>
    </w:p>
    <w:p w14:paraId="0B0EB33B"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0" w:name="_heading=h.41mghml" w:colFirst="0" w:colLast="0"/>
      <w:bookmarkEnd w:id="40"/>
    </w:p>
    <w:p w14:paraId="4DFE901C"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Badania w czasie robót</w:t>
      </w:r>
    </w:p>
    <w:p w14:paraId="39EB6C6C" w14:textId="77777777" w:rsidR="00572A86" w:rsidRDefault="007944B8">
      <w:pPr>
        <w:numPr>
          <w:ilvl w:val="0"/>
          <w:numId w:val="36"/>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koryta pod ławę</w:t>
      </w:r>
    </w:p>
    <w:p w14:paraId="17AB3471"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sprawdzać wymiary koryta oraz zagęszczenie podłoża na dnie wykopu.</w:t>
      </w:r>
    </w:p>
    <w:p w14:paraId="1E079849"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Tolerancja dla szerokości wykopu wynosi +(-) 2cm.</w:t>
      </w:r>
    </w:p>
    <w:p w14:paraId="2469FC11" w14:textId="77777777" w:rsidR="00572A86" w:rsidRDefault="007944B8">
      <w:pPr>
        <w:numPr>
          <w:ilvl w:val="0"/>
          <w:numId w:val="36"/>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ław</w:t>
      </w:r>
    </w:p>
    <w:p w14:paraId="10F7DFF6"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wykonywaniu ław badaniu podlegają:</w:t>
      </w:r>
    </w:p>
    <w:p w14:paraId="1057944C"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 Zgodność profilu podłużnego górnej powierzchni ław z dokumentacją projektową. Profil podłużny górnej powierzchni ławy powinien być zgodny z projektowaną niweletą. Dopuszczalne odchylenia mogą wynosić +(-) 1cm na każde 100m ławy.</w:t>
      </w:r>
    </w:p>
    <w:p w14:paraId="0AE0D65E"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 Wymiary ław. Wymiary ław należy sprawdzić w dwóch dowolnie wybranych punktach na każde 100m ławy. Tolerancje wymiarów wynoszą:</w:t>
      </w:r>
    </w:p>
    <w:p w14:paraId="6E8C94CF"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wysokości +(-) 10% wysokości projektowanej,</w:t>
      </w:r>
    </w:p>
    <w:p w14:paraId="2235C00A"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szerokości +(-) 10% szerokości projektowanej.</w:t>
      </w:r>
    </w:p>
    <w:p w14:paraId="0314F669"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 Równość górnej powierzchni ław. Równość górnej powierzchni ławy sprawdza się przez przyłożenie w dwóch punktach na każde 100m, trzymetrowej łaty. Prześwit pomiędzy górną powierzchnią ławy i przyłożoną łatą nie może przekraczać 1cm,</w:t>
      </w:r>
    </w:p>
    <w:p w14:paraId="563DC52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 Zagęszczenie ław. Zagęszczenie ław bada się w dwóch przekrojach na każde 100m. Ławy ze żwiru lub piasku nie mogą wykazywać śladu urządzenia zagęszczającego. Ławy z tłucznia, badane próbą wyjęcia poszczególnych ziaren tłucznia, nie powinny pozwalać na wyjęcie ziarna z ławy,</w:t>
      </w:r>
    </w:p>
    <w:p w14:paraId="1AC14D0D"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e) Odchylenie linii ław od projektowanego kierunku. Dopuszczalne odchylenie linii ław od projektowanego kierunku nie może przekraczać +(-) 2cm na każde 100m wykonanej ławy.</w:t>
      </w:r>
    </w:p>
    <w:p w14:paraId="04B5BB13" w14:textId="77777777" w:rsidR="00572A86" w:rsidRDefault="007944B8">
      <w:pPr>
        <w:numPr>
          <w:ilvl w:val="0"/>
          <w:numId w:val="36"/>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ustawienia krawężników</w:t>
      </w:r>
    </w:p>
    <w:p w14:paraId="4AD6891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ustawianiu krawężników należy sprawdzać:</w:t>
      </w:r>
    </w:p>
    <w:p w14:paraId="2356123F"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w:t>
      </w:r>
      <w:r>
        <w:rPr>
          <w:rFonts w:ascii="Calibri" w:eastAsia="Calibri" w:hAnsi="Calibri" w:cs="Calibri"/>
          <w:color w:val="000000"/>
          <w:sz w:val="22"/>
          <w:szCs w:val="22"/>
        </w:rPr>
        <w:tab/>
        <w:t>dopuszczalne odchylenia linii krawężników w poziomie od linii projektowanej, które wynosi +(-) 1cm na każde 100m ustawionego krawężnika,</w:t>
      </w:r>
    </w:p>
    <w:p w14:paraId="3806BB0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w:t>
      </w:r>
      <w:r>
        <w:rPr>
          <w:rFonts w:ascii="Calibri" w:eastAsia="Calibri" w:hAnsi="Calibri" w:cs="Calibri"/>
          <w:color w:val="000000"/>
          <w:sz w:val="22"/>
          <w:szCs w:val="22"/>
        </w:rPr>
        <w:tab/>
        <w:t>dopuszczalne odchylenie niweletą górnej płaszczyzny krawężnika od niweletą projektowanej, które wynosi +(-) 1cm na każde 100m ustawionego krawężnika,</w:t>
      </w:r>
    </w:p>
    <w:p w14:paraId="7541C199"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w:t>
      </w:r>
      <w:r>
        <w:rPr>
          <w:rFonts w:ascii="Calibri" w:eastAsia="Calibri" w:hAnsi="Calibri" w:cs="Calibri"/>
          <w:color w:val="000000"/>
          <w:sz w:val="22"/>
          <w:szCs w:val="22"/>
        </w:rPr>
        <w:tab/>
        <w:t>równość górnej powierzchni krawężników, sprawdzane przez przyłożenie w dwóch punktach na każde 100m krawężnika, trzymetrowej łaty, przy czym prześwit pomiędzy górną powierzchnią krawężnika i przyłożoną łatą nie może przekraczać 1cm,</w:t>
      </w:r>
    </w:p>
    <w:p w14:paraId="76AD046A"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rPr>
        <w:tab/>
        <w:t>dokładność wypełnienia spoin bada się co 10 metrów. Spoiny muszą być wypełnione całkowicie na pełną głębokość.</w:t>
      </w:r>
    </w:p>
    <w:p w14:paraId="668F3DD5"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04400CD"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1" w:name="_heading=h.2grqrue" w:colFirst="0" w:colLast="0"/>
      <w:bookmarkEnd w:id="41"/>
    </w:p>
    <w:p w14:paraId="6BDF8BF1" w14:textId="77777777" w:rsidR="00572A86" w:rsidRDefault="007944B8">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OPIS SPOSOBU ODBIORU ROBÓT BUDOWLANYCH</w:t>
      </w:r>
    </w:p>
    <w:p w14:paraId="7A0883B9"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33B2550E"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odbioru robót zostały zawarte w ST tom I pkt.19 </w:t>
      </w:r>
    </w:p>
    <w:p w14:paraId="5B75D5DF"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42" w:name="_heading=h.vx1227" w:colFirst="0" w:colLast="0"/>
      <w:bookmarkEnd w:id="42"/>
      <w:r>
        <w:rPr>
          <w:rFonts w:ascii="Calibri" w:eastAsia="Calibri" w:hAnsi="Calibri" w:cs="Calibri"/>
          <w:b/>
          <w:color w:val="000000"/>
          <w:sz w:val="22"/>
          <w:szCs w:val="22"/>
        </w:rPr>
        <w:t xml:space="preserve"> Ogólne zasady odbioru robót</w:t>
      </w:r>
    </w:p>
    <w:p w14:paraId="529AB968"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uznaje się za zgodne ze specyfikacją techniczną wykonania i odbioru robót budowlanych, wymaganiami Inspektora nadzoru, jeżeli wszystkie pomiary i badania z zachowaniem tolerancji dały wyniki pozytywne.</w:t>
      </w:r>
    </w:p>
    <w:p w14:paraId="14C7AC1E"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B22AC80"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pPr>
      <w:bookmarkStart w:id="43" w:name="_heading=h.hbk6wei3bwzi" w:colFirst="0" w:colLast="0"/>
      <w:bookmarkEnd w:id="43"/>
      <w:r>
        <w:rPr>
          <w:rFonts w:ascii="Calibri" w:eastAsia="Calibri" w:hAnsi="Calibri" w:cs="Calibri"/>
          <w:b/>
          <w:color w:val="000000"/>
          <w:sz w:val="22"/>
          <w:szCs w:val="22"/>
        </w:rPr>
        <w:lastRenderedPageBreak/>
        <w:t>Roboty podlegają następującym etapom odbioru:</w:t>
      </w:r>
    </w:p>
    <w:p w14:paraId="0C408DC9" w14:textId="77777777" w:rsidR="00572A86" w:rsidRDefault="007944B8">
      <w:pPr>
        <w:numPr>
          <w:ilvl w:val="0"/>
          <w:numId w:val="3"/>
        </w:numPr>
        <w:pBdr>
          <w:top w:val="nil"/>
          <w:left w:val="nil"/>
          <w:bottom w:val="nil"/>
          <w:right w:val="nil"/>
          <w:between w:val="nil"/>
        </w:pBdr>
        <w:spacing w:before="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w:t>
      </w:r>
    </w:p>
    <w:p w14:paraId="238BFEFC" w14:textId="77777777" w:rsidR="00572A86" w:rsidRDefault="007944B8">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odbiory częściowe danego etapu robót,</w:t>
      </w:r>
    </w:p>
    <w:p w14:paraId="4CC1CE68" w14:textId="77777777" w:rsidR="00572A86" w:rsidRDefault="007944B8">
      <w:pPr>
        <w:numPr>
          <w:ilvl w:val="0"/>
          <w:numId w:val="3"/>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końcowy,</w:t>
      </w:r>
    </w:p>
    <w:p w14:paraId="421842D9"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4" w:name="_heading=h.3fwokq0" w:colFirst="0" w:colLast="0"/>
      <w:bookmarkEnd w:id="44"/>
    </w:p>
    <w:p w14:paraId="37C95B38"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robót zanikających i ulegających zakryciu</w:t>
      </w:r>
    </w:p>
    <w:p w14:paraId="42BD4BC2"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 podlegają:</w:t>
      </w:r>
    </w:p>
    <w:p w14:paraId="73103833" w14:textId="77777777" w:rsidR="00572A86" w:rsidRDefault="007944B8">
      <w:pPr>
        <w:numPr>
          <w:ilvl w:val="0"/>
          <w:numId w:val="5"/>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przygotowanie podłoża,</w:t>
      </w:r>
    </w:p>
    <w:p w14:paraId="5048FDDA" w14:textId="77777777" w:rsidR="00572A86" w:rsidRDefault="007944B8">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warstwy podsypkowej,</w:t>
      </w:r>
    </w:p>
    <w:p w14:paraId="1B3F81D1" w14:textId="77777777" w:rsidR="00572A86" w:rsidRDefault="007944B8">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podbudowy,</w:t>
      </w:r>
    </w:p>
    <w:p w14:paraId="6E63FECC" w14:textId="77777777" w:rsidR="00572A86" w:rsidRDefault="007944B8">
      <w:pPr>
        <w:numPr>
          <w:ilvl w:val="0"/>
          <w:numId w:val="5"/>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ławy pod krawężniki.</w:t>
      </w:r>
    </w:p>
    <w:p w14:paraId="0D32CA14"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częściowy:</w:t>
      </w:r>
    </w:p>
    <w:p w14:paraId="707F1F61"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5" w:name="_heading=h.4f1mdlm" w:colFirst="0" w:colLast="0"/>
      <w:bookmarkEnd w:id="45"/>
      <w:r>
        <w:rPr>
          <w:rFonts w:ascii="Calibri" w:eastAsia="Calibri" w:hAnsi="Calibri" w:cs="Calibri"/>
          <w:color w:val="000000"/>
          <w:sz w:val="22"/>
          <w:szCs w:val="22"/>
        </w:rPr>
        <w:t xml:space="preserve">Odbiór danego etapu robót nastąpi po wykonaniu wszystkich robót określonych w umowie w zakresie danego etapu zgodnie z harmonogramem rzeczowo-finansowym, zgodnie z obowiązującymi normami, przepisami i wymaganiami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po przedstawieniu dokumentów potwierdzającymi jakość wbudowanych materiałów oraz dopuszczenia stosowania ich w budownictwie i uporządkowania terenu.</w:t>
      </w:r>
    </w:p>
    <w:p w14:paraId="57E3BC54" w14:textId="77777777" w:rsidR="00572A86" w:rsidRDefault="007944B8">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końcowy</w:t>
      </w:r>
    </w:p>
    <w:p w14:paraId="56BCD88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końcowy nastąpi po podpisaniu protokołów częściowych odbioru robót dla całości robót budowlanych związanych z budowa sieci ciepłowniczej, oraz z dokonaniem odbioru końcowego sieci ciepłowniczej oraz po przekazaniu terenu właścicielowi.</w:t>
      </w:r>
    </w:p>
    <w:p w14:paraId="25CB901B"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D642637"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6" w:name="_heading=h.2u6wntf" w:colFirst="0" w:colLast="0"/>
      <w:bookmarkEnd w:id="46"/>
    </w:p>
    <w:p w14:paraId="561ACD9E" w14:textId="77777777" w:rsidR="00572A86" w:rsidRDefault="007944B8">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PODSTAWY PŁATNOŚCI</w:t>
      </w:r>
    </w:p>
    <w:p w14:paraId="5D4F04BB"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B756E13"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płatności zostały zawarte w ST tom I pkt. 20</w:t>
      </w:r>
    </w:p>
    <w:p w14:paraId="230C9736"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7" w:name="_heading=h.19c6y18" w:colFirst="0" w:colLast="0"/>
      <w:bookmarkEnd w:id="47"/>
    </w:p>
    <w:p w14:paraId="3511B0F5" w14:textId="77777777" w:rsidR="00572A86" w:rsidRDefault="007944B8">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DOKUMENTY ODNIESIENIA</w:t>
      </w:r>
    </w:p>
    <w:p w14:paraId="02BE85A4" w14:textId="77777777" w:rsidR="00572A86" w:rsidRDefault="007944B8">
      <w:pPr>
        <w:keepNext/>
        <w:numPr>
          <w:ilvl w:val="1"/>
          <w:numId w:val="33"/>
        </w:numPr>
        <w:pBdr>
          <w:top w:val="nil"/>
          <w:left w:val="nil"/>
          <w:bottom w:val="nil"/>
          <w:right w:val="nil"/>
          <w:between w:val="nil"/>
        </w:pBdr>
        <w:spacing w:before="240" w:after="60" w:line="240" w:lineRule="auto"/>
        <w:ind w:left="0" w:hanging="2"/>
        <w:rPr>
          <w:rFonts w:ascii="Calibri" w:eastAsia="Calibri" w:hAnsi="Calibri" w:cs="Calibri"/>
          <w:color w:val="000000"/>
          <w:sz w:val="22"/>
          <w:szCs w:val="22"/>
        </w:rPr>
      </w:pPr>
      <w:bookmarkStart w:id="48" w:name="_heading=h.3tbugp1" w:colFirst="0" w:colLast="0"/>
      <w:bookmarkEnd w:id="48"/>
      <w:r>
        <w:rPr>
          <w:rFonts w:ascii="Calibri" w:eastAsia="Calibri" w:hAnsi="Calibri" w:cs="Calibri"/>
          <w:b/>
          <w:color w:val="000000"/>
          <w:sz w:val="22"/>
          <w:szCs w:val="22"/>
        </w:rPr>
        <w:t xml:space="preserve"> Dokumentacja </w:t>
      </w:r>
    </w:p>
    <w:p w14:paraId="6219A7DD" w14:textId="77777777" w:rsidR="00572A86" w:rsidRDefault="007944B8">
      <w:pPr>
        <w:keepNext/>
        <w:pBdr>
          <w:top w:val="nil"/>
          <w:left w:val="nil"/>
          <w:bottom w:val="nil"/>
          <w:right w:val="nil"/>
          <w:between w:val="nil"/>
        </w:pBdr>
        <w:spacing w:line="360" w:lineRule="auto"/>
        <w:ind w:left="0" w:hanging="2"/>
        <w:jc w:val="both"/>
        <w:rPr>
          <w:rFonts w:ascii="Calibri" w:eastAsia="Calibri" w:hAnsi="Calibri" w:cs="Calibri"/>
          <w:b/>
          <w:color w:val="000000"/>
          <w:sz w:val="22"/>
          <w:szCs w:val="22"/>
        </w:rPr>
      </w:pPr>
      <w:r>
        <w:rPr>
          <w:rFonts w:ascii="Calibri" w:eastAsia="Calibri" w:hAnsi="Calibri" w:cs="Calibri"/>
          <w:color w:val="000000"/>
          <w:sz w:val="22"/>
          <w:szCs w:val="22"/>
        </w:rPr>
        <w:t>Dokumentacja projektowa i formalno- prawna</w:t>
      </w:r>
    </w:p>
    <w:p w14:paraId="0D49A77A"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9" w:name="_heading=h.28h4qwu" w:colFirst="0" w:colLast="0"/>
      <w:bookmarkEnd w:id="49"/>
      <w:r>
        <w:rPr>
          <w:rFonts w:ascii="Calibri" w:eastAsia="Calibri" w:hAnsi="Calibri" w:cs="Calibri"/>
          <w:color w:val="000000"/>
          <w:sz w:val="22"/>
          <w:szCs w:val="22"/>
        </w:rPr>
        <w:t>Specyfikacja techniczna wykonania i odbioru robót</w:t>
      </w:r>
    </w:p>
    <w:p w14:paraId="5DAAA3CC" w14:textId="77777777" w:rsidR="00572A86" w:rsidRDefault="007944B8">
      <w:pPr>
        <w:keepNext/>
        <w:numPr>
          <w:ilvl w:val="1"/>
          <w:numId w:val="33"/>
        </w:numPr>
        <w:pBdr>
          <w:top w:val="nil"/>
          <w:left w:val="nil"/>
          <w:bottom w:val="nil"/>
          <w:right w:val="nil"/>
          <w:between w:val="nil"/>
        </w:pBdr>
        <w:spacing w:before="240" w:after="6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Normy</w:t>
      </w:r>
    </w:p>
    <w:p w14:paraId="765AB6F4"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14157:2005</w:t>
      </w:r>
      <w:r>
        <w:rPr>
          <w:rFonts w:ascii="Calibri" w:eastAsia="Calibri" w:hAnsi="Calibri" w:cs="Calibri"/>
          <w:color w:val="000000"/>
          <w:sz w:val="22"/>
          <w:szCs w:val="22"/>
        </w:rPr>
        <w:tab/>
        <w:t xml:space="preserve">Materiały kamienne. Oznaczenie ścieralności na tarczy </w:t>
      </w:r>
      <w:proofErr w:type="spellStart"/>
      <w:r>
        <w:rPr>
          <w:rFonts w:ascii="Calibri" w:eastAsia="Calibri" w:hAnsi="Calibri" w:cs="Calibri"/>
          <w:color w:val="000000"/>
          <w:sz w:val="22"/>
          <w:szCs w:val="22"/>
        </w:rPr>
        <w:t>Boehmego</w:t>
      </w:r>
      <w:proofErr w:type="spellEnd"/>
      <w:r>
        <w:rPr>
          <w:rFonts w:ascii="Calibri" w:eastAsia="Calibri" w:hAnsi="Calibri" w:cs="Calibri"/>
          <w:color w:val="000000"/>
          <w:sz w:val="22"/>
          <w:szCs w:val="22"/>
        </w:rPr>
        <w:t>,</w:t>
      </w:r>
    </w:p>
    <w:p w14:paraId="1129936C"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206-1:20013</w:t>
      </w:r>
      <w:r>
        <w:rPr>
          <w:rFonts w:ascii="Calibri" w:eastAsia="Calibri" w:hAnsi="Calibri" w:cs="Calibri"/>
          <w:color w:val="000000"/>
          <w:sz w:val="22"/>
          <w:szCs w:val="22"/>
        </w:rPr>
        <w:tab/>
        <w:t>Beton zwykły,</w:t>
      </w:r>
    </w:p>
    <w:p w14:paraId="0309558E"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12620:2004</w:t>
      </w:r>
      <w:r>
        <w:rPr>
          <w:rFonts w:ascii="Calibri" w:eastAsia="Calibri" w:hAnsi="Calibri" w:cs="Calibri"/>
          <w:color w:val="000000"/>
          <w:sz w:val="22"/>
          <w:szCs w:val="22"/>
        </w:rPr>
        <w:tab/>
        <w:t>Kruszywa do betonu,</w:t>
      </w:r>
    </w:p>
    <w:p w14:paraId="1823C85C"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PN-B-19701</w:t>
      </w:r>
      <w:r>
        <w:rPr>
          <w:rFonts w:ascii="Calibri" w:eastAsia="Calibri" w:hAnsi="Calibri" w:cs="Calibri"/>
          <w:color w:val="000000"/>
          <w:sz w:val="22"/>
          <w:szCs w:val="22"/>
        </w:rPr>
        <w:tab/>
        <w:t>Cement. Cement powszechnego użytku. Skład, wymagania i ocena zgodności,</w:t>
      </w:r>
    </w:p>
    <w:p w14:paraId="2FCA2580"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90D7331"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budowlane. Woda do betonów i zapraw,</w:t>
      </w:r>
    </w:p>
    <w:p w14:paraId="14091AE3"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t>Prefabrykaty budowlane z betonu. Elementy nawierzchni dróg, ulic, parkingów i torowisk tramwajowych. Krawężniki i obrzeża,</w:t>
      </w:r>
    </w:p>
    <w:p w14:paraId="3C592226"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27FE1AC"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BN-68/8931-01</w:t>
      </w:r>
      <w:r>
        <w:rPr>
          <w:rFonts w:ascii="Calibri" w:eastAsia="Calibri" w:hAnsi="Calibri" w:cs="Calibri"/>
          <w:color w:val="000000"/>
          <w:sz w:val="22"/>
          <w:szCs w:val="22"/>
        </w:rPr>
        <w:tab/>
        <w:t>Drogi samochodowe. Oznaczenie wskaźnika piaskowego,</w:t>
      </w:r>
    </w:p>
    <w:p w14:paraId="3F016378"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BN-68/8931-04</w:t>
      </w:r>
      <w:r>
        <w:rPr>
          <w:rFonts w:ascii="Calibri" w:eastAsia="Calibri" w:hAnsi="Calibri" w:cs="Calibri"/>
          <w:color w:val="000000"/>
          <w:sz w:val="22"/>
          <w:szCs w:val="22"/>
        </w:rPr>
        <w:tab/>
        <w:t xml:space="preserve">Drogi samochodowe. Pomiar równości nawierzchni </w:t>
      </w:r>
      <w:proofErr w:type="spellStart"/>
      <w:r>
        <w:rPr>
          <w:rFonts w:ascii="Calibri" w:eastAsia="Calibri" w:hAnsi="Calibri" w:cs="Calibri"/>
          <w:color w:val="000000"/>
          <w:sz w:val="22"/>
          <w:szCs w:val="22"/>
        </w:rPr>
        <w:t>planografem</w:t>
      </w:r>
      <w:proofErr w:type="spellEnd"/>
      <w:r>
        <w:rPr>
          <w:rFonts w:ascii="Calibri" w:eastAsia="Calibri" w:hAnsi="Calibri" w:cs="Calibri"/>
          <w:color w:val="000000"/>
          <w:sz w:val="22"/>
          <w:szCs w:val="22"/>
        </w:rPr>
        <w:t xml:space="preserve"> i łatą,</w:t>
      </w:r>
    </w:p>
    <w:p w14:paraId="3351C038"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PN-B-11111:1996</w:t>
      </w:r>
      <w:r>
        <w:rPr>
          <w:rFonts w:ascii="Calibri" w:eastAsia="Calibri" w:hAnsi="Calibri" w:cs="Calibri"/>
          <w:color w:val="000000"/>
          <w:sz w:val="22"/>
          <w:szCs w:val="22"/>
        </w:rPr>
        <w:tab/>
        <w:t>Kruszywa mineralne. Kruszywa naturalne do nawierzchni drogowych. Żwir i mieszanka,</w:t>
      </w:r>
    </w:p>
    <w:p w14:paraId="62480513"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FF796D8"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t>Kruszywa mineralne. Kruszywa łamane do nawierzchni drogowych,</w:t>
      </w:r>
    </w:p>
    <w:p w14:paraId="5862E0B7"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mineralne. Kruszywa naturalne do nawierzchni drogowych,</w:t>
      </w:r>
    </w:p>
    <w:p w14:paraId="6453BD3F"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PN-B-11115:1998</w:t>
      </w:r>
      <w:r>
        <w:rPr>
          <w:rFonts w:ascii="Calibri" w:eastAsia="Calibri" w:hAnsi="Calibri" w:cs="Calibri"/>
          <w:color w:val="000000"/>
          <w:sz w:val="22"/>
          <w:szCs w:val="22"/>
        </w:rPr>
        <w:tab/>
        <w:t>Kruszywa mineralne. Kruszywa sztuczne z żużla stalowniczego do nawierzchni drogowych,</w:t>
      </w:r>
    </w:p>
    <w:p w14:paraId="7B9001E2"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EA53FCC"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t>Kruszywa mineralne. Kruszywa łamane do nawierzchni drogowych,</w:t>
      </w:r>
    </w:p>
    <w:p w14:paraId="048D6954"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mineralne. Kruszywa naturalne do nawierzchni drogowych,</w:t>
      </w:r>
    </w:p>
    <w:p w14:paraId="400E646D"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PN-B-11115:1998</w:t>
      </w:r>
      <w:r>
        <w:rPr>
          <w:rFonts w:ascii="Calibri" w:eastAsia="Calibri" w:hAnsi="Calibri" w:cs="Calibri"/>
          <w:color w:val="000000"/>
          <w:sz w:val="22"/>
          <w:szCs w:val="22"/>
        </w:rPr>
        <w:tab/>
        <w:t>Kruszywa mineralne. Kruszywa sztuczne z żużla stalowniczego do nawierzchni drogowych,</w:t>
      </w:r>
    </w:p>
    <w:p w14:paraId="032F8A2F"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1D4E5B8"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PN-B-11213:1997</w:t>
      </w:r>
      <w:r>
        <w:rPr>
          <w:rFonts w:ascii="Calibri" w:eastAsia="Calibri" w:hAnsi="Calibri" w:cs="Calibri"/>
          <w:color w:val="000000"/>
          <w:sz w:val="22"/>
          <w:szCs w:val="22"/>
        </w:rPr>
        <w:tab/>
        <w:t>Materiały kamienne - elementy kamienne - krawężniki uliczne, mostowe i drogowe,</w:t>
      </w:r>
    </w:p>
    <w:p w14:paraId="6F7DA9F9"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2EE960A"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t>Prefabrykaty budowlane z betonu. Elementy nawierzchni dróg, ulic, parkingów i torowisk tramwajowych. Krawężniki i obrzeża,</w:t>
      </w:r>
    </w:p>
    <w:p w14:paraId="55FEDCB7"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D664594"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PN-B-06050</w:t>
      </w:r>
      <w:r>
        <w:rPr>
          <w:rFonts w:ascii="Calibri" w:eastAsia="Calibri" w:hAnsi="Calibri" w:cs="Calibri"/>
          <w:color w:val="000000"/>
          <w:sz w:val="22"/>
          <w:szCs w:val="22"/>
        </w:rPr>
        <w:tab/>
      </w:r>
      <w:r>
        <w:rPr>
          <w:rFonts w:ascii="Calibri" w:eastAsia="Calibri" w:hAnsi="Calibri" w:cs="Calibri"/>
          <w:color w:val="000000"/>
          <w:sz w:val="22"/>
          <w:szCs w:val="22"/>
        </w:rPr>
        <w:tab/>
        <w:t>Roboty ziemne budowlane,</w:t>
      </w:r>
    </w:p>
    <w:p w14:paraId="47880439"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PN-B-06251</w:t>
      </w:r>
      <w:r>
        <w:rPr>
          <w:rFonts w:ascii="Calibri" w:eastAsia="Calibri" w:hAnsi="Calibri" w:cs="Calibri"/>
          <w:color w:val="000000"/>
          <w:sz w:val="22"/>
          <w:szCs w:val="22"/>
        </w:rPr>
        <w:tab/>
      </w:r>
      <w:r>
        <w:rPr>
          <w:rFonts w:ascii="Calibri" w:eastAsia="Calibri" w:hAnsi="Calibri" w:cs="Calibri"/>
          <w:color w:val="000000"/>
          <w:sz w:val="22"/>
          <w:szCs w:val="22"/>
        </w:rPr>
        <w:tab/>
        <w:t>Roboty betonowe i żelbetowe,</w:t>
      </w:r>
    </w:p>
    <w:p w14:paraId="4816E728"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PN-B-06711</w:t>
      </w:r>
      <w:r>
        <w:rPr>
          <w:rFonts w:ascii="Calibri" w:eastAsia="Calibri" w:hAnsi="Calibri" w:cs="Calibri"/>
          <w:color w:val="000000"/>
          <w:sz w:val="22"/>
          <w:szCs w:val="22"/>
        </w:rPr>
        <w:tab/>
      </w:r>
      <w:r>
        <w:rPr>
          <w:rFonts w:ascii="Calibri" w:eastAsia="Calibri" w:hAnsi="Calibri" w:cs="Calibri"/>
          <w:color w:val="000000"/>
          <w:sz w:val="22"/>
          <w:szCs w:val="22"/>
        </w:rPr>
        <w:tab/>
        <w:t>Kruszywo mineralne. Piasek do betonów i zapraw,</w:t>
      </w:r>
    </w:p>
    <w:p w14:paraId="31AECB50" w14:textId="77777777" w:rsidR="00572A86" w:rsidRDefault="007944B8">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PN-B-10021</w:t>
      </w:r>
      <w:r>
        <w:rPr>
          <w:rFonts w:ascii="Calibri" w:eastAsia="Calibri" w:hAnsi="Calibri" w:cs="Calibri"/>
          <w:color w:val="000000"/>
          <w:sz w:val="22"/>
          <w:szCs w:val="22"/>
        </w:rPr>
        <w:tab/>
      </w:r>
      <w:r>
        <w:rPr>
          <w:rFonts w:ascii="Calibri" w:eastAsia="Calibri" w:hAnsi="Calibri" w:cs="Calibri"/>
          <w:color w:val="000000"/>
          <w:sz w:val="22"/>
          <w:szCs w:val="22"/>
        </w:rPr>
        <w:tab/>
        <w:t>Prefabrykaty budowlane z betonu. Metody pomiaru cech geometrycznych,</w:t>
      </w:r>
    </w:p>
    <w:p w14:paraId="19BA977A"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łamane do nawierzchni drogowych,</w:t>
      </w:r>
    </w:p>
    <w:p w14:paraId="2651EDE0"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naturalne do nawierzchni drogowych. Piasek</w:t>
      </w:r>
    </w:p>
    <w:p w14:paraId="301F79F3"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budowlane. Woda do betonów i zapraw,</w:t>
      </w:r>
    </w:p>
    <w:p w14:paraId="4296355F"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BN-88/6731-08</w:t>
      </w:r>
      <w:r>
        <w:rPr>
          <w:rFonts w:ascii="Calibri" w:eastAsia="Calibri" w:hAnsi="Calibri" w:cs="Calibri"/>
          <w:color w:val="000000"/>
          <w:sz w:val="22"/>
          <w:szCs w:val="22"/>
        </w:rPr>
        <w:tab/>
      </w:r>
      <w:r>
        <w:rPr>
          <w:rFonts w:ascii="Calibri" w:eastAsia="Calibri" w:hAnsi="Calibri" w:cs="Calibri"/>
          <w:color w:val="000000"/>
          <w:sz w:val="22"/>
          <w:szCs w:val="22"/>
        </w:rPr>
        <w:tab/>
        <w:t>Cement. Transport i przechowywanie,</w:t>
      </w:r>
    </w:p>
    <w:p w14:paraId="178A4C0A"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BN-74/6771-04</w:t>
      </w:r>
      <w:r>
        <w:rPr>
          <w:rFonts w:ascii="Calibri" w:eastAsia="Calibri" w:hAnsi="Calibri" w:cs="Calibri"/>
          <w:color w:val="000000"/>
          <w:sz w:val="22"/>
          <w:szCs w:val="22"/>
        </w:rPr>
        <w:tab/>
      </w:r>
      <w:r>
        <w:rPr>
          <w:rFonts w:ascii="Calibri" w:eastAsia="Calibri" w:hAnsi="Calibri" w:cs="Calibri"/>
          <w:color w:val="000000"/>
          <w:sz w:val="22"/>
          <w:szCs w:val="22"/>
        </w:rPr>
        <w:tab/>
        <w:t>Drogi samochodowe. Masa zalewowa,</w:t>
      </w:r>
    </w:p>
    <w:p w14:paraId="2F93DCE6"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BN-64/8845-02</w:t>
      </w:r>
      <w:r>
        <w:rPr>
          <w:rFonts w:ascii="Calibri" w:eastAsia="Calibri" w:hAnsi="Calibri" w:cs="Calibri"/>
          <w:color w:val="000000"/>
          <w:sz w:val="22"/>
          <w:szCs w:val="22"/>
        </w:rPr>
        <w:tab/>
      </w:r>
      <w:r>
        <w:rPr>
          <w:rFonts w:ascii="Calibri" w:eastAsia="Calibri" w:hAnsi="Calibri" w:cs="Calibri"/>
          <w:color w:val="000000"/>
          <w:sz w:val="22"/>
          <w:szCs w:val="22"/>
        </w:rPr>
        <w:tab/>
        <w:t>Krawężniki uliczne. Warunki techniczne ustawiania i odbioru,</w:t>
      </w:r>
    </w:p>
    <w:p w14:paraId="568E1F0C"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549F1BE"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Rozporządzenia Ministra Infrastruktury z dnia 24 czerwca 2022 w sprawie przepisów techniczno-budowlanych dotyczących dróg publicznych (tekst jedn. Dz. U. 2022 poz. 1518),</w:t>
      </w:r>
    </w:p>
    <w:p w14:paraId="20CBCC75" w14:textId="77777777" w:rsidR="00572A86" w:rsidRDefault="00572A86">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56F7474"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N-S- 06102 </w:t>
      </w:r>
      <w:r>
        <w:rPr>
          <w:rFonts w:ascii="Calibri" w:eastAsia="Calibri" w:hAnsi="Calibri" w:cs="Calibri"/>
          <w:color w:val="000000"/>
          <w:sz w:val="22"/>
          <w:szCs w:val="22"/>
        </w:rPr>
        <w:tab/>
      </w:r>
      <w:r>
        <w:rPr>
          <w:rFonts w:ascii="Calibri" w:eastAsia="Calibri" w:hAnsi="Calibri" w:cs="Calibri"/>
          <w:color w:val="000000"/>
          <w:sz w:val="22"/>
          <w:szCs w:val="22"/>
        </w:rPr>
        <w:tab/>
        <w:t>Podbudowy z kruszyw stabilizowanych mechanicznie,</w:t>
      </w:r>
    </w:p>
    <w:p w14:paraId="5FD358B6" w14:textId="77777777" w:rsidR="00572A86" w:rsidRDefault="007944B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PN-S- 02204 </w:t>
      </w:r>
      <w:r>
        <w:rPr>
          <w:rFonts w:ascii="Calibri" w:eastAsia="Calibri" w:hAnsi="Calibri" w:cs="Calibri"/>
          <w:color w:val="000000"/>
          <w:sz w:val="22"/>
          <w:szCs w:val="22"/>
        </w:rPr>
        <w:tab/>
        <w:t>Drogi samochodowe – Odwodnienie dróg. Katalog typowych konstrukcji nawierzchni podatnych i półsztywnych. GDDP, Warszawa 1997r.</w:t>
      </w:r>
    </w:p>
    <w:p w14:paraId="49FF1E66"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B3E188D"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840CFD5"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9720CD2"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762CA9A"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4034885" w14:textId="77777777" w:rsidR="00572A86" w:rsidRDefault="00572A86">
      <w:pPr>
        <w:pBdr>
          <w:top w:val="nil"/>
          <w:left w:val="nil"/>
          <w:bottom w:val="nil"/>
          <w:right w:val="nil"/>
          <w:between w:val="nil"/>
        </w:pBdr>
        <w:spacing w:line="240" w:lineRule="auto"/>
        <w:ind w:left="0" w:hanging="2"/>
        <w:rPr>
          <w:rFonts w:ascii="Calibri" w:eastAsia="Calibri" w:hAnsi="Calibri" w:cs="Calibri"/>
          <w:color w:val="000000"/>
          <w:sz w:val="22"/>
          <w:szCs w:val="22"/>
        </w:rPr>
      </w:pPr>
    </w:p>
    <w:sectPr w:rsidR="00572A86">
      <w:footerReference w:type="even" r:id="rId18"/>
      <w:footerReference w:type="default" r:id="rId19"/>
      <w:pgSz w:w="11906" w:h="16838"/>
      <w:pgMar w:top="1135" w:right="1133" w:bottom="1418" w:left="1134" w:header="708" w:footer="1156"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4AE12" w14:textId="77777777" w:rsidR="00336050" w:rsidRDefault="00336050">
      <w:pPr>
        <w:spacing w:line="240" w:lineRule="auto"/>
        <w:ind w:left="0" w:hanging="2"/>
      </w:pPr>
      <w:r>
        <w:separator/>
      </w:r>
    </w:p>
  </w:endnote>
  <w:endnote w:type="continuationSeparator" w:id="0">
    <w:p w14:paraId="5C1476B8" w14:textId="77777777" w:rsidR="00336050" w:rsidRDefault="0033605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426A6" w14:textId="77777777" w:rsidR="00572A86" w:rsidRDefault="007944B8">
    <w:pPr>
      <w:pBdr>
        <w:top w:val="nil"/>
        <w:left w:val="nil"/>
        <w:bottom w:val="nil"/>
        <w:right w:val="nil"/>
        <w:between w:val="nil"/>
      </w:pBdr>
      <w:tabs>
        <w:tab w:val="center" w:pos="4536"/>
        <w:tab w:val="right" w:pos="9072"/>
      </w:tabs>
      <w:spacing w:line="240" w:lineRule="auto"/>
      <w:ind w:left="0" w:right="36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945313">
      <w:rPr>
        <w:noProof/>
        <w:color w:val="000000"/>
        <w:sz w:val="20"/>
        <w:szCs w:val="20"/>
      </w:rPr>
      <w:t>2</w:t>
    </w:r>
    <w:r>
      <w:rPr>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69D8" w14:textId="77777777" w:rsidR="00572A86" w:rsidRDefault="007944B8">
    <w:pPr>
      <w:pBdr>
        <w:top w:val="nil"/>
        <w:left w:val="nil"/>
        <w:bottom w:val="nil"/>
        <w:right w:val="nil"/>
        <w:between w:val="nil"/>
      </w:pBdr>
      <w:tabs>
        <w:tab w:val="center" w:pos="4536"/>
        <w:tab w:val="right" w:pos="9072"/>
      </w:tabs>
      <w:spacing w:line="240" w:lineRule="auto"/>
      <w:ind w:left="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945313">
      <w:rPr>
        <w:noProof/>
        <w:color w:val="000000"/>
        <w:sz w:val="20"/>
        <w:szCs w:val="20"/>
      </w:rPr>
      <w:t>1</w:t>
    </w:r>
    <w:r>
      <w:rPr>
        <w:color w:val="000000"/>
        <w:sz w:val="20"/>
        <w:szCs w:val="20"/>
      </w:rPr>
      <w:fldChar w:fldCharType="end"/>
    </w:r>
  </w:p>
  <w:p w14:paraId="5AE34A20" w14:textId="77777777" w:rsidR="00572A86" w:rsidRDefault="00572A86">
    <w:pPr>
      <w:pBdr>
        <w:top w:val="nil"/>
        <w:left w:val="nil"/>
        <w:bottom w:val="nil"/>
        <w:right w:val="nil"/>
        <w:between w:val="nil"/>
      </w:pBdr>
      <w:tabs>
        <w:tab w:val="center" w:pos="4536"/>
        <w:tab w:val="right" w:pos="9072"/>
      </w:tabs>
      <w:spacing w:line="240" w:lineRule="auto"/>
      <w:ind w:left="0" w:right="360" w:hanging="2"/>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43D26" w14:textId="77777777" w:rsidR="00336050" w:rsidRDefault="00336050">
      <w:pPr>
        <w:spacing w:line="240" w:lineRule="auto"/>
        <w:ind w:left="0" w:hanging="2"/>
      </w:pPr>
      <w:r>
        <w:separator/>
      </w:r>
    </w:p>
  </w:footnote>
  <w:footnote w:type="continuationSeparator" w:id="0">
    <w:p w14:paraId="71F29669" w14:textId="77777777" w:rsidR="00336050" w:rsidRDefault="00336050">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00052"/>
    <w:multiLevelType w:val="multilevel"/>
    <w:tmpl w:val="1414A0C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A1F7E3A"/>
    <w:multiLevelType w:val="multilevel"/>
    <w:tmpl w:val="B712B7D2"/>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 w15:restartNumberingAfterBreak="0">
    <w:nsid w:val="0D3E3F05"/>
    <w:multiLevelType w:val="multilevel"/>
    <w:tmpl w:val="E848D2A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EA20BC4"/>
    <w:multiLevelType w:val="multilevel"/>
    <w:tmpl w:val="018001FE"/>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pStyle w:val="Nagwek3"/>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4F06C43"/>
    <w:multiLevelType w:val="multilevel"/>
    <w:tmpl w:val="1A625FC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54D4CEC"/>
    <w:multiLevelType w:val="multilevel"/>
    <w:tmpl w:val="93A83320"/>
    <w:lvl w:ilvl="0">
      <w:start w:val="1"/>
      <w:numFmt w:val="decimal"/>
      <w:lvlText w:val="%1)"/>
      <w:lvlJc w:val="left"/>
      <w:pPr>
        <w:ind w:left="725" w:hanging="360"/>
      </w:pPr>
      <w:rPr>
        <w:vertAlign w:val="baseline"/>
      </w:rPr>
    </w:lvl>
    <w:lvl w:ilvl="1">
      <w:start w:val="1"/>
      <w:numFmt w:val="lowerLetter"/>
      <w:lvlText w:val="%2."/>
      <w:lvlJc w:val="left"/>
      <w:pPr>
        <w:ind w:left="1445" w:hanging="360"/>
      </w:pPr>
      <w:rPr>
        <w:vertAlign w:val="baseline"/>
      </w:rPr>
    </w:lvl>
    <w:lvl w:ilvl="2">
      <w:start w:val="1"/>
      <w:numFmt w:val="lowerRoman"/>
      <w:lvlText w:val="%3."/>
      <w:lvlJc w:val="right"/>
      <w:pPr>
        <w:ind w:left="2165" w:hanging="180"/>
      </w:pPr>
      <w:rPr>
        <w:vertAlign w:val="baseline"/>
      </w:rPr>
    </w:lvl>
    <w:lvl w:ilvl="3">
      <w:start w:val="1"/>
      <w:numFmt w:val="decimal"/>
      <w:lvlText w:val="%4."/>
      <w:lvlJc w:val="left"/>
      <w:pPr>
        <w:ind w:left="2885" w:hanging="360"/>
      </w:pPr>
      <w:rPr>
        <w:vertAlign w:val="baseline"/>
      </w:rPr>
    </w:lvl>
    <w:lvl w:ilvl="4">
      <w:start w:val="1"/>
      <w:numFmt w:val="lowerLetter"/>
      <w:lvlText w:val="%5."/>
      <w:lvlJc w:val="left"/>
      <w:pPr>
        <w:ind w:left="3605" w:hanging="360"/>
      </w:pPr>
      <w:rPr>
        <w:vertAlign w:val="baseline"/>
      </w:rPr>
    </w:lvl>
    <w:lvl w:ilvl="5">
      <w:start w:val="1"/>
      <w:numFmt w:val="lowerRoman"/>
      <w:lvlText w:val="%6."/>
      <w:lvlJc w:val="right"/>
      <w:pPr>
        <w:ind w:left="4325" w:hanging="180"/>
      </w:pPr>
      <w:rPr>
        <w:vertAlign w:val="baseline"/>
      </w:rPr>
    </w:lvl>
    <w:lvl w:ilvl="6">
      <w:start w:val="1"/>
      <w:numFmt w:val="decimal"/>
      <w:lvlText w:val="%7."/>
      <w:lvlJc w:val="left"/>
      <w:pPr>
        <w:ind w:left="5045" w:hanging="360"/>
      </w:pPr>
      <w:rPr>
        <w:vertAlign w:val="baseline"/>
      </w:rPr>
    </w:lvl>
    <w:lvl w:ilvl="7">
      <w:start w:val="1"/>
      <w:numFmt w:val="lowerLetter"/>
      <w:lvlText w:val="%8."/>
      <w:lvlJc w:val="left"/>
      <w:pPr>
        <w:ind w:left="5765" w:hanging="360"/>
      </w:pPr>
      <w:rPr>
        <w:vertAlign w:val="baseline"/>
      </w:rPr>
    </w:lvl>
    <w:lvl w:ilvl="8">
      <w:start w:val="1"/>
      <w:numFmt w:val="lowerRoman"/>
      <w:lvlText w:val="%9."/>
      <w:lvlJc w:val="right"/>
      <w:pPr>
        <w:ind w:left="6485" w:hanging="180"/>
      </w:pPr>
      <w:rPr>
        <w:vertAlign w:val="baseline"/>
      </w:rPr>
    </w:lvl>
  </w:abstractNum>
  <w:abstractNum w:abstractNumId="6" w15:restartNumberingAfterBreak="0">
    <w:nsid w:val="1F330DB2"/>
    <w:multiLevelType w:val="multilevel"/>
    <w:tmpl w:val="12128082"/>
    <w:lvl w:ilvl="0">
      <w:start w:val="1"/>
      <w:numFmt w:val="decimal"/>
      <w:lvlText w:val="%1."/>
      <w:lvlJc w:val="left"/>
      <w:pPr>
        <w:ind w:left="720" w:hanging="360"/>
      </w:pPr>
      <w:rPr>
        <w:b/>
        <w:color w:val="000000"/>
        <w:sz w:val="24"/>
        <w:szCs w:val="24"/>
        <w:vertAlign w:val="baseline"/>
      </w:rPr>
    </w:lvl>
    <w:lvl w:ilvl="1">
      <w:start w:val="1"/>
      <w:numFmt w:val="decimal"/>
      <w:lvlText w:val="%1.%2"/>
      <w:lvlJc w:val="left"/>
      <w:pPr>
        <w:ind w:left="1080" w:hanging="720"/>
      </w:pPr>
      <w:rPr>
        <w:rFonts w:ascii="Calibri" w:eastAsia="Calibri" w:hAnsi="Calibri" w:cs="Calibri"/>
        <w:b/>
        <w:i w:val="0"/>
        <w:sz w:val="22"/>
        <w:szCs w:val="22"/>
        <w:vertAlign w:val="baseline"/>
      </w:rPr>
    </w:lvl>
    <w:lvl w:ilvl="2">
      <w:start w:val="1"/>
      <w:numFmt w:val="decimal"/>
      <w:lvlText w:val="%1.%2.%3"/>
      <w:lvlJc w:val="left"/>
      <w:pPr>
        <w:ind w:left="1440" w:hanging="1080"/>
      </w:pPr>
      <w:rPr>
        <w:rFonts w:ascii="Arial" w:eastAsia="Arial" w:hAnsi="Arial" w:cs="Arial"/>
        <w:b/>
        <w:i w:val="0"/>
        <w:vertAlign w:val="baseline"/>
      </w:rPr>
    </w:lvl>
    <w:lvl w:ilvl="3">
      <w:start w:val="1"/>
      <w:numFmt w:val="decimal"/>
      <w:lvlText w:val="%1.%2.%3.%4"/>
      <w:lvlJc w:val="left"/>
      <w:pPr>
        <w:ind w:left="1440" w:hanging="1080"/>
      </w:pPr>
      <w:rPr>
        <w:i w:val="0"/>
        <w:vertAlign w:val="baseline"/>
      </w:rPr>
    </w:lvl>
    <w:lvl w:ilvl="4">
      <w:start w:val="1"/>
      <w:numFmt w:val="decimal"/>
      <w:lvlText w:val="%1.%2.%3.%4.%5"/>
      <w:lvlJc w:val="left"/>
      <w:pPr>
        <w:ind w:left="1800" w:hanging="1440"/>
      </w:pPr>
      <w:rPr>
        <w:i w:val="0"/>
        <w:vertAlign w:val="baseline"/>
      </w:rPr>
    </w:lvl>
    <w:lvl w:ilvl="5">
      <w:start w:val="1"/>
      <w:numFmt w:val="decimal"/>
      <w:lvlText w:val="%1.%2.%3.%4.%5.%6"/>
      <w:lvlJc w:val="left"/>
      <w:pPr>
        <w:ind w:left="2160" w:hanging="1800"/>
      </w:pPr>
      <w:rPr>
        <w:i w:val="0"/>
        <w:vertAlign w:val="baseline"/>
      </w:rPr>
    </w:lvl>
    <w:lvl w:ilvl="6">
      <w:start w:val="1"/>
      <w:numFmt w:val="decimal"/>
      <w:lvlText w:val="%1.%2.%3.%4.%5.%6.%7"/>
      <w:lvlJc w:val="left"/>
      <w:pPr>
        <w:ind w:left="2520" w:hanging="2160"/>
      </w:pPr>
      <w:rPr>
        <w:i w:val="0"/>
        <w:vertAlign w:val="baseline"/>
      </w:rPr>
    </w:lvl>
    <w:lvl w:ilvl="7">
      <w:start w:val="1"/>
      <w:numFmt w:val="decimal"/>
      <w:lvlText w:val="%1.%2.%3.%4.%5.%6.%7.%8"/>
      <w:lvlJc w:val="left"/>
      <w:pPr>
        <w:ind w:left="2520" w:hanging="2160"/>
      </w:pPr>
      <w:rPr>
        <w:i w:val="0"/>
        <w:vertAlign w:val="baseline"/>
      </w:rPr>
    </w:lvl>
    <w:lvl w:ilvl="8">
      <w:start w:val="1"/>
      <w:numFmt w:val="decimal"/>
      <w:lvlText w:val="%1.%2.%3.%4.%5.%6.%7.%8.%9"/>
      <w:lvlJc w:val="left"/>
      <w:pPr>
        <w:ind w:left="2880" w:hanging="2520"/>
      </w:pPr>
      <w:rPr>
        <w:i w:val="0"/>
        <w:vertAlign w:val="baseline"/>
      </w:rPr>
    </w:lvl>
  </w:abstractNum>
  <w:abstractNum w:abstractNumId="7" w15:restartNumberingAfterBreak="0">
    <w:nsid w:val="1FB23A5E"/>
    <w:multiLevelType w:val="multilevel"/>
    <w:tmpl w:val="E118E47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27BC05C5"/>
    <w:multiLevelType w:val="multilevel"/>
    <w:tmpl w:val="201A05F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2A3B62CA"/>
    <w:multiLevelType w:val="multilevel"/>
    <w:tmpl w:val="3EE2D3AE"/>
    <w:lvl w:ilvl="0">
      <w:start w:val="1"/>
      <w:numFmt w:val="decimal"/>
      <w:lvlText w:val="%1)"/>
      <w:lvlJc w:val="left"/>
      <w:pPr>
        <w:ind w:left="283" w:hanging="283"/>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0" w15:restartNumberingAfterBreak="0">
    <w:nsid w:val="2C3408C3"/>
    <w:multiLevelType w:val="multilevel"/>
    <w:tmpl w:val="8DAEBFF8"/>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11" w15:restartNumberingAfterBreak="0">
    <w:nsid w:val="31026451"/>
    <w:multiLevelType w:val="multilevel"/>
    <w:tmpl w:val="9E8A84E4"/>
    <w:lvl w:ilvl="0">
      <w:start w:val="1"/>
      <w:numFmt w:val="bullet"/>
      <w:lvlText w:val="-"/>
      <w:lvlJc w:val="left"/>
      <w:pPr>
        <w:ind w:left="786" w:hanging="360"/>
      </w:pPr>
      <w:rPr>
        <w:rFonts w:ascii="Times New Roman" w:eastAsia="Times New Roman" w:hAnsi="Times New Roman" w:cs="Times New Roman"/>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12" w15:restartNumberingAfterBreak="0">
    <w:nsid w:val="337A0D87"/>
    <w:multiLevelType w:val="multilevel"/>
    <w:tmpl w:val="2F7C227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15:restartNumberingAfterBreak="0">
    <w:nsid w:val="34351D70"/>
    <w:multiLevelType w:val="multilevel"/>
    <w:tmpl w:val="158264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361C1868"/>
    <w:multiLevelType w:val="multilevel"/>
    <w:tmpl w:val="F1D2B26A"/>
    <w:lvl w:ilvl="0">
      <w:start w:val="1"/>
      <w:numFmt w:val="lowerLetter"/>
      <w:lvlText w:val="%1)"/>
      <w:lvlJc w:val="left"/>
      <w:pPr>
        <w:ind w:left="720" w:hanging="360"/>
      </w:pPr>
      <w:rPr>
        <w:rFonts w:ascii="Arial" w:eastAsia="Arial" w:hAnsi="Arial" w:cs="Arial"/>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15" w15:restartNumberingAfterBreak="0">
    <w:nsid w:val="36B320F6"/>
    <w:multiLevelType w:val="multilevel"/>
    <w:tmpl w:val="60261E68"/>
    <w:lvl w:ilvl="0">
      <w:start w:val="25"/>
      <w:numFmt w:val="bullet"/>
      <w:lvlText w:val="-"/>
      <w:lvlJc w:val="left"/>
      <w:pPr>
        <w:ind w:left="4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381D683D"/>
    <w:multiLevelType w:val="multilevel"/>
    <w:tmpl w:val="90BCFF8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3AEA6BBF"/>
    <w:multiLevelType w:val="multilevel"/>
    <w:tmpl w:val="BFEA2C70"/>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18" w15:restartNumberingAfterBreak="0">
    <w:nsid w:val="3E186511"/>
    <w:multiLevelType w:val="multilevel"/>
    <w:tmpl w:val="096E3E58"/>
    <w:lvl w:ilvl="0">
      <w:start w:val="1"/>
      <w:numFmt w:val="decimal"/>
      <w:lvlText w:val="%1)"/>
      <w:lvlJc w:val="left"/>
      <w:pPr>
        <w:ind w:left="418" w:hanging="360"/>
      </w:pPr>
      <w:rPr>
        <w:vertAlign w:val="baseline"/>
      </w:rPr>
    </w:lvl>
    <w:lvl w:ilvl="1">
      <w:start w:val="1"/>
      <w:numFmt w:val="lowerLetter"/>
      <w:lvlText w:val="%2."/>
      <w:lvlJc w:val="left"/>
      <w:pPr>
        <w:ind w:left="1138" w:hanging="360"/>
      </w:pPr>
      <w:rPr>
        <w:vertAlign w:val="baseline"/>
      </w:rPr>
    </w:lvl>
    <w:lvl w:ilvl="2">
      <w:start w:val="1"/>
      <w:numFmt w:val="lowerRoman"/>
      <w:lvlText w:val="%3."/>
      <w:lvlJc w:val="right"/>
      <w:pPr>
        <w:ind w:left="1858" w:hanging="180"/>
      </w:pPr>
      <w:rPr>
        <w:vertAlign w:val="baseline"/>
      </w:rPr>
    </w:lvl>
    <w:lvl w:ilvl="3">
      <w:start w:val="1"/>
      <w:numFmt w:val="decimal"/>
      <w:lvlText w:val="%4."/>
      <w:lvlJc w:val="left"/>
      <w:pPr>
        <w:ind w:left="2578" w:hanging="360"/>
      </w:pPr>
      <w:rPr>
        <w:vertAlign w:val="baseline"/>
      </w:rPr>
    </w:lvl>
    <w:lvl w:ilvl="4">
      <w:start w:val="1"/>
      <w:numFmt w:val="lowerLetter"/>
      <w:lvlText w:val="%5."/>
      <w:lvlJc w:val="left"/>
      <w:pPr>
        <w:ind w:left="3298" w:hanging="360"/>
      </w:pPr>
      <w:rPr>
        <w:vertAlign w:val="baseline"/>
      </w:rPr>
    </w:lvl>
    <w:lvl w:ilvl="5">
      <w:start w:val="1"/>
      <w:numFmt w:val="lowerRoman"/>
      <w:lvlText w:val="%6."/>
      <w:lvlJc w:val="right"/>
      <w:pPr>
        <w:ind w:left="4018" w:hanging="180"/>
      </w:pPr>
      <w:rPr>
        <w:vertAlign w:val="baseline"/>
      </w:rPr>
    </w:lvl>
    <w:lvl w:ilvl="6">
      <w:start w:val="1"/>
      <w:numFmt w:val="decimal"/>
      <w:lvlText w:val="%7."/>
      <w:lvlJc w:val="left"/>
      <w:pPr>
        <w:ind w:left="4738" w:hanging="360"/>
      </w:pPr>
      <w:rPr>
        <w:vertAlign w:val="baseline"/>
      </w:rPr>
    </w:lvl>
    <w:lvl w:ilvl="7">
      <w:start w:val="1"/>
      <w:numFmt w:val="lowerLetter"/>
      <w:lvlText w:val="%8."/>
      <w:lvlJc w:val="left"/>
      <w:pPr>
        <w:ind w:left="5458" w:hanging="360"/>
      </w:pPr>
      <w:rPr>
        <w:vertAlign w:val="baseline"/>
      </w:rPr>
    </w:lvl>
    <w:lvl w:ilvl="8">
      <w:start w:val="1"/>
      <w:numFmt w:val="lowerRoman"/>
      <w:lvlText w:val="%9."/>
      <w:lvlJc w:val="right"/>
      <w:pPr>
        <w:ind w:left="6178" w:hanging="180"/>
      </w:pPr>
      <w:rPr>
        <w:vertAlign w:val="baseline"/>
      </w:rPr>
    </w:lvl>
  </w:abstractNum>
  <w:abstractNum w:abstractNumId="19" w15:restartNumberingAfterBreak="0">
    <w:nsid w:val="45F50210"/>
    <w:multiLevelType w:val="multilevel"/>
    <w:tmpl w:val="8CE6C46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483B44CA"/>
    <w:multiLevelType w:val="multilevel"/>
    <w:tmpl w:val="79460A54"/>
    <w:lvl w:ilvl="0">
      <w:start w:val="1"/>
      <w:numFmt w:val="decimal"/>
      <w:lvlText w:val="%1)"/>
      <w:lvlJc w:val="left"/>
      <w:pPr>
        <w:ind w:left="778" w:hanging="360"/>
      </w:pPr>
      <w:rPr>
        <w:vertAlign w:val="baseline"/>
      </w:rPr>
    </w:lvl>
    <w:lvl w:ilvl="1">
      <w:start w:val="1"/>
      <w:numFmt w:val="lowerLetter"/>
      <w:lvlText w:val="%2."/>
      <w:lvlJc w:val="left"/>
      <w:pPr>
        <w:ind w:left="1498" w:hanging="360"/>
      </w:pPr>
      <w:rPr>
        <w:vertAlign w:val="baseline"/>
      </w:rPr>
    </w:lvl>
    <w:lvl w:ilvl="2">
      <w:start w:val="1"/>
      <w:numFmt w:val="lowerRoman"/>
      <w:lvlText w:val="%3."/>
      <w:lvlJc w:val="right"/>
      <w:pPr>
        <w:ind w:left="2218" w:hanging="180"/>
      </w:pPr>
      <w:rPr>
        <w:vertAlign w:val="baseline"/>
      </w:rPr>
    </w:lvl>
    <w:lvl w:ilvl="3">
      <w:start w:val="1"/>
      <w:numFmt w:val="decimal"/>
      <w:lvlText w:val="%4."/>
      <w:lvlJc w:val="left"/>
      <w:pPr>
        <w:ind w:left="2938" w:hanging="360"/>
      </w:pPr>
      <w:rPr>
        <w:vertAlign w:val="baseline"/>
      </w:rPr>
    </w:lvl>
    <w:lvl w:ilvl="4">
      <w:start w:val="1"/>
      <w:numFmt w:val="lowerLetter"/>
      <w:lvlText w:val="%5."/>
      <w:lvlJc w:val="left"/>
      <w:pPr>
        <w:ind w:left="3658" w:hanging="360"/>
      </w:pPr>
      <w:rPr>
        <w:vertAlign w:val="baseline"/>
      </w:rPr>
    </w:lvl>
    <w:lvl w:ilvl="5">
      <w:start w:val="1"/>
      <w:numFmt w:val="lowerRoman"/>
      <w:lvlText w:val="%6."/>
      <w:lvlJc w:val="right"/>
      <w:pPr>
        <w:ind w:left="4378" w:hanging="180"/>
      </w:pPr>
      <w:rPr>
        <w:vertAlign w:val="baseline"/>
      </w:rPr>
    </w:lvl>
    <w:lvl w:ilvl="6">
      <w:start w:val="1"/>
      <w:numFmt w:val="decimal"/>
      <w:lvlText w:val="%7."/>
      <w:lvlJc w:val="left"/>
      <w:pPr>
        <w:ind w:left="5098" w:hanging="360"/>
      </w:pPr>
      <w:rPr>
        <w:vertAlign w:val="baseline"/>
      </w:rPr>
    </w:lvl>
    <w:lvl w:ilvl="7">
      <w:start w:val="1"/>
      <w:numFmt w:val="lowerLetter"/>
      <w:lvlText w:val="%8."/>
      <w:lvlJc w:val="left"/>
      <w:pPr>
        <w:ind w:left="5818" w:hanging="360"/>
      </w:pPr>
      <w:rPr>
        <w:vertAlign w:val="baseline"/>
      </w:rPr>
    </w:lvl>
    <w:lvl w:ilvl="8">
      <w:start w:val="1"/>
      <w:numFmt w:val="lowerRoman"/>
      <w:lvlText w:val="%9."/>
      <w:lvlJc w:val="right"/>
      <w:pPr>
        <w:ind w:left="6538" w:hanging="180"/>
      </w:pPr>
      <w:rPr>
        <w:vertAlign w:val="baseline"/>
      </w:rPr>
    </w:lvl>
  </w:abstractNum>
  <w:abstractNum w:abstractNumId="21" w15:restartNumberingAfterBreak="0">
    <w:nsid w:val="4B0839B5"/>
    <w:multiLevelType w:val="multilevel"/>
    <w:tmpl w:val="4282D28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53E82C92"/>
    <w:multiLevelType w:val="multilevel"/>
    <w:tmpl w:val="2B42DDF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55C0763B"/>
    <w:multiLevelType w:val="multilevel"/>
    <w:tmpl w:val="1D083FB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55DA4464"/>
    <w:multiLevelType w:val="multilevel"/>
    <w:tmpl w:val="DA1029CC"/>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5" w15:restartNumberingAfterBreak="0">
    <w:nsid w:val="56387B1E"/>
    <w:multiLevelType w:val="multilevel"/>
    <w:tmpl w:val="EB3CFE62"/>
    <w:lvl w:ilvl="0">
      <w:start w:val="1"/>
      <w:numFmt w:val="decimal"/>
      <w:lvlText w:val="%1)"/>
      <w:lvlJc w:val="left"/>
      <w:pPr>
        <w:ind w:left="744" w:hanging="359"/>
      </w:pPr>
      <w:rPr>
        <w:vertAlign w:val="baseline"/>
      </w:rPr>
    </w:lvl>
    <w:lvl w:ilvl="1">
      <w:start w:val="1"/>
      <w:numFmt w:val="lowerLetter"/>
      <w:lvlText w:val="%2."/>
      <w:lvlJc w:val="left"/>
      <w:pPr>
        <w:ind w:left="1464" w:hanging="360"/>
      </w:pPr>
      <w:rPr>
        <w:vertAlign w:val="baseline"/>
      </w:rPr>
    </w:lvl>
    <w:lvl w:ilvl="2">
      <w:start w:val="1"/>
      <w:numFmt w:val="lowerRoman"/>
      <w:lvlText w:val="%3."/>
      <w:lvlJc w:val="right"/>
      <w:pPr>
        <w:ind w:left="2184" w:hanging="180"/>
      </w:pPr>
      <w:rPr>
        <w:vertAlign w:val="baseline"/>
      </w:rPr>
    </w:lvl>
    <w:lvl w:ilvl="3">
      <w:start w:val="1"/>
      <w:numFmt w:val="decimal"/>
      <w:lvlText w:val="%4."/>
      <w:lvlJc w:val="left"/>
      <w:pPr>
        <w:ind w:left="2904" w:hanging="360"/>
      </w:pPr>
      <w:rPr>
        <w:vertAlign w:val="baseline"/>
      </w:rPr>
    </w:lvl>
    <w:lvl w:ilvl="4">
      <w:start w:val="1"/>
      <w:numFmt w:val="lowerLetter"/>
      <w:lvlText w:val="%5."/>
      <w:lvlJc w:val="left"/>
      <w:pPr>
        <w:ind w:left="3624" w:hanging="360"/>
      </w:pPr>
      <w:rPr>
        <w:vertAlign w:val="baseline"/>
      </w:rPr>
    </w:lvl>
    <w:lvl w:ilvl="5">
      <w:start w:val="1"/>
      <w:numFmt w:val="lowerRoman"/>
      <w:lvlText w:val="%6."/>
      <w:lvlJc w:val="right"/>
      <w:pPr>
        <w:ind w:left="4344" w:hanging="180"/>
      </w:pPr>
      <w:rPr>
        <w:vertAlign w:val="baseline"/>
      </w:rPr>
    </w:lvl>
    <w:lvl w:ilvl="6">
      <w:start w:val="1"/>
      <w:numFmt w:val="decimal"/>
      <w:lvlText w:val="%7."/>
      <w:lvlJc w:val="left"/>
      <w:pPr>
        <w:ind w:left="5064" w:hanging="360"/>
      </w:pPr>
      <w:rPr>
        <w:vertAlign w:val="baseline"/>
      </w:rPr>
    </w:lvl>
    <w:lvl w:ilvl="7">
      <w:start w:val="1"/>
      <w:numFmt w:val="lowerLetter"/>
      <w:lvlText w:val="%8."/>
      <w:lvlJc w:val="left"/>
      <w:pPr>
        <w:ind w:left="5784" w:hanging="360"/>
      </w:pPr>
      <w:rPr>
        <w:vertAlign w:val="baseline"/>
      </w:rPr>
    </w:lvl>
    <w:lvl w:ilvl="8">
      <w:start w:val="1"/>
      <w:numFmt w:val="lowerRoman"/>
      <w:lvlText w:val="%9."/>
      <w:lvlJc w:val="right"/>
      <w:pPr>
        <w:ind w:left="6504" w:hanging="180"/>
      </w:pPr>
      <w:rPr>
        <w:vertAlign w:val="baseline"/>
      </w:rPr>
    </w:lvl>
  </w:abstractNum>
  <w:abstractNum w:abstractNumId="26" w15:restartNumberingAfterBreak="0">
    <w:nsid w:val="5A1D6388"/>
    <w:multiLevelType w:val="multilevel"/>
    <w:tmpl w:val="45FAF8A6"/>
    <w:lvl w:ilvl="0">
      <w:start w:val="1"/>
      <w:numFmt w:val="decimal"/>
      <w:lvlText w:val="%1)"/>
      <w:lvlJc w:val="left"/>
      <w:pPr>
        <w:ind w:left="720" w:hanging="360"/>
      </w:pPr>
      <w:rPr>
        <w:b w:val="0"/>
        <w:i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5CB4252D"/>
    <w:multiLevelType w:val="multilevel"/>
    <w:tmpl w:val="F1AACD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62CE3969"/>
    <w:multiLevelType w:val="multilevel"/>
    <w:tmpl w:val="48CC1F3A"/>
    <w:lvl w:ilvl="0">
      <w:start w:val="1"/>
      <w:numFmt w:val="decimal"/>
      <w:lvlText w:val="%1"/>
      <w:lvlJc w:val="left"/>
      <w:pPr>
        <w:ind w:left="432" w:hanging="432"/>
      </w:pPr>
      <w:rPr>
        <w:b/>
        <w:color w:val="000000"/>
        <w:sz w:val="28"/>
        <w:szCs w:val="28"/>
        <w:vertAlign w:val="baseline"/>
      </w:rPr>
    </w:lvl>
    <w:lvl w:ilvl="1">
      <w:start w:val="1"/>
      <w:numFmt w:val="decimal"/>
      <w:lvlText w:val="%1.%2"/>
      <w:lvlJc w:val="left"/>
      <w:pPr>
        <w:ind w:left="576" w:hanging="576"/>
      </w:pPr>
      <w:rPr>
        <w:b/>
        <w:i w:val="0"/>
        <w:sz w:val="22"/>
        <w:szCs w:val="22"/>
        <w:vertAlign w:val="baseline"/>
      </w:rPr>
    </w:lvl>
    <w:lvl w:ilvl="2">
      <w:start w:val="1"/>
      <w:numFmt w:val="decimal"/>
      <w:lvlText w:val="%1.%2.%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29" w15:restartNumberingAfterBreak="0">
    <w:nsid w:val="641F441A"/>
    <w:multiLevelType w:val="multilevel"/>
    <w:tmpl w:val="D426424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64584876"/>
    <w:multiLevelType w:val="multilevel"/>
    <w:tmpl w:val="381AAD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6469657E"/>
    <w:multiLevelType w:val="multilevel"/>
    <w:tmpl w:val="D282430C"/>
    <w:lvl w:ilvl="0">
      <w:start w:val="1"/>
      <w:numFmt w:val="lowerLetter"/>
      <w:lvlText w:val="%1)"/>
      <w:lvlJc w:val="left"/>
      <w:pPr>
        <w:ind w:left="720" w:hanging="360"/>
      </w:pPr>
      <w:rPr>
        <w:color w:val="000000"/>
        <w:vertAlign w:val="baseline"/>
      </w:rPr>
    </w:lvl>
    <w:lvl w:ilvl="1">
      <w:start w:val="1"/>
      <w:numFmt w:val="bullet"/>
      <w:lvlText w:val="−"/>
      <w:lvlJc w:val="left"/>
      <w:pPr>
        <w:ind w:left="1080" w:hanging="360"/>
      </w:pPr>
      <w:rPr>
        <w:rFonts w:ascii="Noto Sans Symbols" w:eastAsia="Noto Sans Symbols" w:hAnsi="Noto Sans Symbols" w:cs="Noto Sans Symbols"/>
        <w:color w:val="000000"/>
        <w:vertAlign w:val="baseline"/>
      </w:rPr>
    </w:lvl>
    <w:lvl w:ilvl="2">
      <w:start w:val="1"/>
      <w:numFmt w:val="bullet"/>
      <w:lvlText w:val="−"/>
      <w:lvlJc w:val="left"/>
      <w:pPr>
        <w:ind w:left="1440" w:hanging="360"/>
      </w:pPr>
      <w:rPr>
        <w:rFonts w:ascii="Noto Sans Symbols" w:eastAsia="Noto Sans Symbols" w:hAnsi="Noto Sans Symbols" w:cs="Noto Sans Symbols"/>
        <w:color w:val="000000"/>
        <w:vertAlign w:val="baseline"/>
      </w:rPr>
    </w:lvl>
    <w:lvl w:ilvl="3">
      <w:start w:val="1"/>
      <w:numFmt w:val="bullet"/>
      <w:lvlText w:val="−"/>
      <w:lvlJc w:val="left"/>
      <w:pPr>
        <w:ind w:left="1800" w:hanging="360"/>
      </w:pPr>
      <w:rPr>
        <w:rFonts w:ascii="Noto Sans Symbols" w:eastAsia="Noto Sans Symbols" w:hAnsi="Noto Sans Symbols" w:cs="Noto Sans Symbols"/>
        <w:color w:val="000000"/>
        <w:vertAlign w:val="baseline"/>
      </w:rPr>
    </w:lvl>
    <w:lvl w:ilvl="4">
      <w:start w:val="1"/>
      <w:numFmt w:val="bullet"/>
      <w:lvlText w:val="−"/>
      <w:lvlJc w:val="left"/>
      <w:pPr>
        <w:ind w:left="2160" w:hanging="360"/>
      </w:pPr>
      <w:rPr>
        <w:rFonts w:ascii="Noto Sans Symbols" w:eastAsia="Noto Sans Symbols" w:hAnsi="Noto Sans Symbols" w:cs="Noto Sans Symbols"/>
        <w:color w:val="000000"/>
        <w:vertAlign w:val="baseline"/>
      </w:rPr>
    </w:lvl>
    <w:lvl w:ilvl="5">
      <w:start w:val="1"/>
      <w:numFmt w:val="bullet"/>
      <w:lvlText w:val="−"/>
      <w:lvlJc w:val="left"/>
      <w:pPr>
        <w:ind w:left="2520" w:hanging="360"/>
      </w:pPr>
      <w:rPr>
        <w:rFonts w:ascii="Noto Sans Symbols" w:eastAsia="Noto Sans Symbols" w:hAnsi="Noto Sans Symbols" w:cs="Noto Sans Symbols"/>
        <w:color w:val="000000"/>
        <w:vertAlign w:val="baseline"/>
      </w:rPr>
    </w:lvl>
    <w:lvl w:ilvl="6">
      <w:start w:val="1"/>
      <w:numFmt w:val="bullet"/>
      <w:lvlText w:val="−"/>
      <w:lvlJc w:val="left"/>
      <w:pPr>
        <w:ind w:left="2880" w:hanging="360"/>
      </w:pPr>
      <w:rPr>
        <w:rFonts w:ascii="Noto Sans Symbols" w:eastAsia="Noto Sans Symbols" w:hAnsi="Noto Sans Symbols" w:cs="Noto Sans Symbols"/>
        <w:color w:val="000000"/>
        <w:vertAlign w:val="baseline"/>
      </w:rPr>
    </w:lvl>
    <w:lvl w:ilvl="7">
      <w:start w:val="1"/>
      <w:numFmt w:val="bullet"/>
      <w:lvlText w:val="−"/>
      <w:lvlJc w:val="left"/>
      <w:pPr>
        <w:ind w:left="3240" w:hanging="360"/>
      </w:pPr>
      <w:rPr>
        <w:rFonts w:ascii="Noto Sans Symbols" w:eastAsia="Noto Sans Symbols" w:hAnsi="Noto Sans Symbols" w:cs="Noto Sans Symbols"/>
        <w:color w:val="000000"/>
        <w:vertAlign w:val="baseline"/>
      </w:rPr>
    </w:lvl>
    <w:lvl w:ilvl="8">
      <w:start w:val="1"/>
      <w:numFmt w:val="bullet"/>
      <w:lvlText w:val="−"/>
      <w:lvlJc w:val="left"/>
      <w:pPr>
        <w:ind w:left="3600" w:hanging="360"/>
      </w:pPr>
      <w:rPr>
        <w:rFonts w:ascii="Noto Sans Symbols" w:eastAsia="Noto Sans Symbols" w:hAnsi="Noto Sans Symbols" w:cs="Noto Sans Symbols"/>
        <w:color w:val="000000"/>
        <w:vertAlign w:val="baseline"/>
      </w:rPr>
    </w:lvl>
  </w:abstractNum>
  <w:abstractNum w:abstractNumId="32" w15:restartNumberingAfterBreak="0">
    <w:nsid w:val="65314691"/>
    <w:multiLevelType w:val="multilevel"/>
    <w:tmpl w:val="C92AC6BC"/>
    <w:lvl w:ilvl="0">
      <w:start w:val="1"/>
      <w:numFmt w:val="decimal"/>
      <w:lvlText w:val="%1)"/>
      <w:lvlJc w:val="left"/>
      <w:pPr>
        <w:ind w:left="566" w:hanging="359"/>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68AE1798"/>
    <w:multiLevelType w:val="multilevel"/>
    <w:tmpl w:val="C218CC0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68D57B9A"/>
    <w:multiLevelType w:val="multilevel"/>
    <w:tmpl w:val="240EB87E"/>
    <w:lvl w:ilvl="0">
      <w:start w:val="1"/>
      <w:numFmt w:val="decimal"/>
      <w:lvlText w:val="%1)"/>
      <w:lvlJc w:val="left"/>
      <w:pPr>
        <w:ind w:left="720" w:hanging="360"/>
      </w:pPr>
      <w:rPr>
        <w:rFonts w:ascii="Noto Sans Symbols" w:eastAsia="Noto Sans Symbols" w:hAnsi="Noto Sans Symbols" w:cs="Noto Sans Symbol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440" w:hanging="360"/>
      </w:pPr>
      <w:rPr>
        <w:vertAlign w:val="baseline"/>
      </w:rPr>
    </w:lvl>
    <w:lvl w:ilvl="3">
      <w:start w:val="1"/>
      <w:numFmt w:val="decimal"/>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Roman"/>
      <w:lvlText w:val="(%6)"/>
      <w:lvlJc w:val="right"/>
      <w:pPr>
        <w:ind w:left="2520" w:hanging="360"/>
      </w:pPr>
      <w:rPr>
        <w:vertAlign w:val="baseline"/>
      </w:rPr>
    </w:lvl>
    <w:lvl w:ilvl="6">
      <w:start w:val="1"/>
      <w:numFmt w:val="decimal"/>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Roman"/>
      <w:lvlText w:val="%9."/>
      <w:lvlJc w:val="right"/>
      <w:pPr>
        <w:ind w:left="3600" w:hanging="360"/>
      </w:pPr>
      <w:rPr>
        <w:vertAlign w:val="baseline"/>
      </w:rPr>
    </w:lvl>
  </w:abstractNum>
  <w:abstractNum w:abstractNumId="35" w15:restartNumberingAfterBreak="0">
    <w:nsid w:val="721276B7"/>
    <w:multiLevelType w:val="multilevel"/>
    <w:tmpl w:val="123A9200"/>
    <w:lvl w:ilvl="0">
      <w:start w:val="1"/>
      <w:numFmt w:val="decimal"/>
      <w:lvlText w:val="%1)"/>
      <w:lvlJc w:val="left"/>
      <w:pPr>
        <w:ind w:left="760" w:hanging="360"/>
      </w:pPr>
      <w:rPr>
        <w:vertAlign w:val="baseline"/>
      </w:rPr>
    </w:lvl>
    <w:lvl w:ilvl="1">
      <w:start w:val="1"/>
      <w:numFmt w:val="lowerLetter"/>
      <w:lvlText w:val="%2."/>
      <w:lvlJc w:val="left"/>
      <w:pPr>
        <w:ind w:left="1480" w:hanging="360"/>
      </w:pPr>
      <w:rPr>
        <w:vertAlign w:val="baseline"/>
      </w:rPr>
    </w:lvl>
    <w:lvl w:ilvl="2">
      <w:start w:val="1"/>
      <w:numFmt w:val="lowerRoman"/>
      <w:lvlText w:val="%3."/>
      <w:lvlJc w:val="right"/>
      <w:pPr>
        <w:ind w:left="2200" w:hanging="180"/>
      </w:pPr>
      <w:rPr>
        <w:vertAlign w:val="baseline"/>
      </w:rPr>
    </w:lvl>
    <w:lvl w:ilvl="3">
      <w:start w:val="1"/>
      <w:numFmt w:val="decimal"/>
      <w:lvlText w:val="%4."/>
      <w:lvlJc w:val="left"/>
      <w:pPr>
        <w:ind w:left="2920" w:hanging="360"/>
      </w:pPr>
      <w:rPr>
        <w:vertAlign w:val="baseline"/>
      </w:rPr>
    </w:lvl>
    <w:lvl w:ilvl="4">
      <w:start w:val="1"/>
      <w:numFmt w:val="lowerLetter"/>
      <w:lvlText w:val="%5."/>
      <w:lvlJc w:val="left"/>
      <w:pPr>
        <w:ind w:left="3640" w:hanging="360"/>
      </w:pPr>
      <w:rPr>
        <w:vertAlign w:val="baseline"/>
      </w:rPr>
    </w:lvl>
    <w:lvl w:ilvl="5">
      <w:start w:val="1"/>
      <w:numFmt w:val="lowerRoman"/>
      <w:lvlText w:val="%6."/>
      <w:lvlJc w:val="right"/>
      <w:pPr>
        <w:ind w:left="4360" w:hanging="180"/>
      </w:pPr>
      <w:rPr>
        <w:vertAlign w:val="baseline"/>
      </w:rPr>
    </w:lvl>
    <w:lvl w:ilvl="6">
      <w:start w:val="1"/>
      <w:numFmt w:val="decimal"/>
      <w:lvlText w:val="%7."/>
      <w:lvlJc w:val="left"/>
      <w:pPr>
        <w:ind w:left="5080" w:hanging="360"/>
      </w:pPr>
      <w:rPr>
        <w:vertAlign w:val="baseline"/>
      </w:rPr>
    </w:lvl>
    <w:lvl w:ilvl="7">
      <w:start w:val="1"/>
      <w:numFmt w:val="lowerLetter"/>
      <w:lvlText w:val="%8."/>
      <w:lvlJc w:val="left"/>
      <w:pPr>
        <w:ind w:left="5800" w:hanging="360"/>
      </w:pPr>
      <w:rPr>
        <w:vertAlign w:val="baseline"/>
      </w:rPr>
    </w:lvl>
    <w:lvl w:ilvl="8">
      <w:start w:val="1"/>
      <w:numFmt w:val="lowerRoman"/>
      <w:lvlText w:val="%9."/>
      <w:lvlJc w:val="right"/>
      <w:pPr>
        <w:ind w:left="6520" w:hanging="180"/>
      </w:pPr>
      <w:rPr>
        <w:vertAlign w:val="baseline"/>
      </w:rPr>
    </w:lvl>
  </w:abstractNum>
  <w:abstractNum w:abstractNumId="36" w15:restartNumberingAfterBreak="0">
    <w:nsid w:val="72742029"/>
    <w:multiLevelType w:val="multilevel"/>
    <w:tmpl w:val="120CCB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75EF14E3"/>
    <w:multiLevelType w:val="multilevel"/>
    <w:tmpl w:val="0EF66C9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768F1960"/>
    <w:multiLevelType w:val="multilevel"/>
    <w:tmpl w:val="5782A74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3"/>
  </w:num>
  <w:num w:numId="2">
    <w:abstractNumId w:val="36"/>
  </w:num>
  <w:num w:numId="3">
    <w:abstractNumId w:val="12"/>
  </w:num>
  <w:num w:numId="4">
    <w:abstractNumId w:val="21"/>
  </w:num>
  <w:num w:numId="5">
    <w:abstractNumId w:val="4"/>
  </w:num>
  <w:num w:numId="6">
    <w:abstractNumId w:val="28"/>
  </w:num>
  <w:num w:numId="7">
    <w:abstractNumId w:val="16"/>
  </w:num>
  <w:num w:numId="8">
    <w:abstractNumId w:val="7"/>
  </w:num>
  <w:num w:numId="9">
    <w:abstractNumId w:val="24"/>
  </w:num>
  <w:num w:numId="10">
    <w:abstractNumId w:val="33"/>
  </w:num>
  <w:num w:numId="11">
    <w:abstractNumId w:val="38"/>
  </w:num>
  <w:num w:numId="12">
    <w:abstractNumId w:val="8"/>
  </w:num>
  <w:num w:numId="13">
    <w:abstractNumId w:val="22"/>
  </w:num>
  <w:num w:numId="14">
    <w:abstractNumId w:val="35"/>
  </w:num>
  <w:num w:numId="15">
    <w:abstractNumId w:val="18"/>
  </w:num>
  <w:num w:numId="16">
    <w:abstractNumId w:val="1"/>
  </w:num>
  <w:num w:numId="17">
    <w:abstractNumId w:val="11"/>
  </w:num>
  <w:num w:numId="18">
    <w:abstractNumId w:val="29"/>
  </w:num>
  <w:num w:numId="19">
    <w:abstractNumId w:val="5"/>
  </w:num>
  <w:num w:numId="20">
    <w:abstractNumId w:val="31"/>
  </w:num>
  <w:num w:numId="21">
    <w:abstractNumId w:val="25"/>
  </w:num>
  <w:num w:numId="22">
    <w:abstractNumId w:val="20"/>
  </w:num>
  <w:num w:numId="23">
    <w:abstractNumId w:val="17"/>
  </w:num>
  <w:num w:numId="24">
    <w:abstractNumId w:val="2"/>
  </w:num>
  <w:num w:numId="25">
    <w:abstractNumId w:val="10"/>
  </w:num>
  <w:num w:numId="26">
    <w:abstractNumId w:val="0"/>
  </w:num>
  <w:num w:numId="27">
    <w:abstractNumId w:val="26"/>
  </w:num>
  <w:num w:numId="28">
    <w:abstractNumId w:val="23"/>
  </w:num>
  <w:num w:numId="29">
    <w:abstractNumId w:val="15"/>
  </w:num>
  <w:num w:numId="30">
    <w:abstractNumId w:val="34"/>
  </w:num>
  <w:num w:numId="31">
    <w:abstractNumId w:val="9"/>
  </w:num>
  <w:num w:numId="32">
    <w:abstractNumId w:val="14"/>
  </w:num>
  <w:num w:numId="33">
    <w:abstractNumId w:val="6"/>
  </w:num>
  <w:num w:numId="34">
    <w:abstractNumId w:val="19"/>
  </w:num>
  <w:num w:numId="35">
    <w:abstractNumId w:val="37"/>
  </w:num>
  <w:num w:numId="36">
    <w:abstractNumId w:val="13"/>
  </w:num>
  <w:num w:numId="37">
    <w:abstractNumId w:val="32"/>
  </w:num>
  <w:num w:numId="38">
    <w:abstractNumId w:val="30"/>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A86"/>
    <w:rsid w:val="00305DD6"/>
    <w:rsid w:val="00336050"/>
    <w:rsid w:val="00572A86"/>
    <w:rsid w:val="007944B8"/>
    <w:rsid w:val="00945313"/>
    <w:rsid w:val="009544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6E6BB"/>
  <w15:docId w15:val="{DAA71D32-3A52-4B1A-8780-627E48657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hanging="1"/>
      <w:textDirection w:val="btLr"/>
      <w:textAlignment w:val="top"/>
      <w:outlineLvl w:val="0"/>
    </w:pPr>
    <w:rPr>
      <w:kern w:val="1"/>
      <w:position w:val="-1"/>
      <w:sz w:val="24"/>
      <w:szCs w:val="24"/>
      <w:lang w:eastAsia="hi-IN" w:bidi="hi-IN"/>
    </w:rPr>
  </w:style>
  <w:style w:type="paragraph" w:styleId="Nagwek1">
    <w:name w:val="heading 1"/>
    <w:basedOn w:val="Normalny"/>
    <w:next w:val="Tekstpodstawowy"/>
    <w:uiPriority w:val="9"/>
    <w:qFormat/>
    <w:pPr>
      <w:keepNext/>
      <w:numPr>
        <w:numId w:val="1"/>
      </w:numPr>
      <w:ind w:left="-1" w:hanging="1"/>
    </w:pPr>
    <w:rPr>
      <w:rFonts w:ascii="Arial Narrow" w:eastAsia="SimSun" w:hAnsi="Arial Narrow" w:cs="Arial Narrow"/>
      <w:color w:val="808080"/>
      <w:sz w:val="32"/>
    </w:rPr>
  </w:style>
  <w:style w:type="paragraph" w:styleId="Nagwek2">
    <w:name w:val="heading 2"/>
    <w:basedOn w:val="Normalny"/>
    <w:next w:val="Tekstpodstawowy"/>
    <w:uiPriority w:val="9"/>
    <w:semiHidden/>
    <w:unhideWhenUsed/>
    <w:qFormat/>
    <w:pPr>
      <w:keepNext/>
      <w:numPr>
        <w:ilvl w:val="1"/>
        <w:numId w:val="1"/>
      </w:numPr>
      <w:spacing w:before="240" w:after="60"/>
      <w:ind w:left="-1" w:hanging="1"/>
      <w:outlineLvl w:val="1"/>
    </w:pPr>
    <w:rPr>
      <w:rFonts w:ascii="Arial" w:eastAsia="SimSun" w:hAnsi="Arial" w:cs="Arial"/>
      <w:b/>
      <w:bCs/>
      <w:i/>
      <w:iCs/>
      <w:sz w:val="28"/>
      <w:szCs w:val="28"/>
    </w:rPr>
  </w:style>
  <w:style w:type="paragraph" w:styleId="Nagwek3">
    <w:name w:val="heading 3"/>
    <w:basedOn w:val="Normalny"/>
    <w:next w:val="Tekstpodstawowy"/>
    <w:uiPriority w:val="9"/>
    <w:semiHidden/>
    <w:unhideWhenUsed/>
    <w:qFormat/>
    <w:pPr>
      <w:keepNext/>
      <w:numPr>
        <w:ilvl w:val="2"/>
        <w:numId w:val="1"/>
      </w:numPr>
      <w:spacing w:line="360" w:lineRule="auto"/>
      <w:ind w:left="-1" w:right="-2" w:hanging="1"/>
      <w:jc w:val="both"/>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Podtytu"/>
    <w:uiPriority w:val="10"/>
    <w:qFormat/>
    <w:pPr>
      <w:ind w:left="0" w:firstLine="0"/>
      <w:jc w:val="center"/>
    </w:pPr>
    <w:rPr>
      <w:rFonts w:ascii="Arial Narrow" w:eastAsia="SimSun" w:hAnsi="Arial Narrow" w:cs="Arial Narrow"/>
      <w:b/>
      <w:bCs/>
      <w:color w:val="808080"/>
      <w:sz w:val="28"/>
      <w:szCs w:val="36"/>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b/>
      <w:w w:val="100"/>
      <w:position w:val="-1"/>
      <w:u w:val="single"/>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imes New Roman" w:hAnsi="Times New Roman" w:cs="Times New Roman"/>
      <w:w w:val="100"/>
      <w:position w:val="-1"/>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OpenSymbol" w:hAnsi="OpenSymbol" w:cs="OpenSymbol"/>
      <w:w w:val="100"/>
      <w:position w:val="-1"/>
      <w:effect w:val="none"/>
      <w:vertAlign w:val="baseline"/>
      <w:cs w:val="0"/>
      <w:em w:val="none"/>
    </w:rPr>
  </w:style>
  <w:style w:type="character" w:customStyle="1" w:styleId="WW8Num5z1">
    <w:name w:val="WW8Num5z1"/>
    <w:rPr>
      <w:rFonts w:ascii="Courier New" w:hAnsi="Courier New" w:cs="Courier New"/>
      <w:w w:val="100"/>
      <w:position w:val="-1"/>
      <w:effect w:val="none"/>
      <w:vertAlign w:val="baseline"/>
      <w:cs w:val="0"/>
      <w:em w:val="none"/>
    </w:rPr>
  </w:style>
  <w:style w:type="character" w:customStyle="1" w:styleId="WW8Num5z2">
    <w:name w:val="WW8Num5z2"/>
    <w:rPr>
      <w:rFonts w:ascii="Wingdings" w:hAnsi="Wingdings" w:cs="Wingdings"/>
      <w:w w:val="100"/>
      <w:position w:val="-1"/>
      <w:effect w:val="none"/>
      <w:vertAlign w:val="baseline"/>
      <w:cs w:val="0"/>
      <w:em w:val="none"/>
    </w:rPr>
  </w:style>
  <w:style w:type="character" w:customStyle="1" w:styleId="WW8Num5z3">
    <w:name w:val="WW8Num5z3"/>
    <w:rPr>
      <w:rFonts w:ascii="Symbol" w:hAnsi="Symbol" w:cs="Symbol"/>
      <w:w w:val="100"/>
      <w:position w:val="-1"/>
      <w:effect w:val="none"/>
      <w:vertAlign w:val="baseline"/>
      <w:cs w:val="0"/>
      <w:em w:val="none"/>
    </w:rPr>
  </w:style>
  <w:style w:type="character" w:customStyle="1" w:styleId="WW8Num6z0">
    <w:name w:val="WW8Num6z0"/>
    <w:rPr>
      <w:rFonts w:ascii="OpenSymbol" w:hAnsi="OpenSymbol" w:cs="OpenSymbo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Tahoma" w:hAnsi="Tahoma" w:cs="Tahoma"/>
      <w:b/>
      <w:bCs/>
      <w:color w:val="000000"/>
      <w:spacing w:val="-6"/>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color w:val="000000"/>
      <w:spacing w:val="-7"/>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rFonts w:ascii="Tahoma" w:hAnsi="Tahoma" w:cs="Tahoma"/>
      <w:w w:val="100"/>
      <w:position w:val="-1"/>
      <w:effect w:val="none"/>
      <w:vertAlign w:val="baseline"/>
      <w:cs w:val="0"/>
      <w:em w:val="none"/>
    </w:rPr>
  </w:style>
  <w:style w:type="character" w:customStyle="1" w:styleId="WW8Num14z0">
    <w:name w:val="WW8Num14z0"/>
    <w:rPr>
      <w:rFonts w:ascii="Symbol" w:hAnsi="Symbol" w:cs="OpenSymbol"/>
      <w:color w:val="000000"/>
      <w:spacing w:val="-2"/>
      <w:w w:val="100"/>
      <w:position w:val="-1"/>
      <w:szCs w:val="19"/>
      <w:effect w:val="none"/>
      <w:vertAlign w:val="baseline"/>
      <w:cs w:val="0"/>
      <w:em w:val="none"/>
    </w:rPr>
  </w:style>
  <w:style w:type="character" w:customStyle="1" w:styleId="WW8Num15z0">
    <w:name w:val="WW8Num15z0"/>
    <w:rPr>
      <w:rFonts w:ascii="Symbol" w:hAnsi="Symbol" w:cs="OpenSymbol"/>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b/>
      <w:w w:val="100"/>
      <w:position w:val="-1"/>
      <w:effect w:val="none"/>
      <w:vertAlign w:val="baseline"/>
      <w:cs w:val="0"/>
      <w:em w:val="none"/>
    </w:rPr>
  </w:style>
  <w:style w:type="character" w:customStyle="1" w:styleId="ListLabel2">
    <w:name w:val="ListLabel 2"/>
    <w:rPr>
      <w:w w:val="100"/>
      <w:position w:val="-1"/>
      <w:sz w:val="20"/>
      <w:effect w:val="none"/>
      <w:vertAlign w:val="baseline"/>
      <w:cs w:val="0"/>
      <w:em w:val="none"/>
    </w:rPr>
  </w:style>
  <w:style w:type="character" w:customStyle="1" w:styleId="ListLabel3">
    <w:name w:val="ListLabel 3"/>
    <w:rPr>
      <w:w w:val="100"/>
      <w:position w:val="-1"/>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apple-converted-space">
    <w:name w:val="apple-converted-space"/>
    <w:basedOn w:val="Domylnaczcionka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ind w:left="0" w:firstLine="0"/>
      <w:jc w:val="both"/>
    </w:pPr>
    <w:rPr>
      <w:rFonts w:ascii="Arial" w:eastAsia="SimSun" w:hAnsi="Arial" w:cs="Arial"/>
      <w:sz w:val="20"/>
    </w:rPr>
  </w:style>
  <w:style w:type="paragraph" w:styleId="Lista">
    <w:name w:val="List"/>
    <w:basedOn w:val="Tekstpodstawowy"/>
    <w:rPr>
      <w:rFonts w:cs="Mangal"/>
    </w:rPr>
  </w:style>
  <w:style w:type="paragraph" w:customStyle="1" w:styleId="Podpis2">
    <w:name w:val="Podpis2"/>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NormalnyWeb">
    <w:name w:val="Normal (Web)"/>
    <w:basedOn w:val="Normalny"/>
    <w:pPr>
      <w:spacing w:before="100" w:after="100"/>
      <w:ind w:left="0"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Stopka">
    <w:name w:val="footer"/>
    <w:basedOn w:val="Normalny"/>
    <w:pPr>
      <w:suppressLineNumbers/>
      <w:tabs>
        <w:tab w:val="center" w:pos="4536"/>
        <w:tab w:val="right" w:pos="9072"/>
      </w:tabs>
      <w:ind w:left="0" w:firstLine="0"/>
    </w:pPr>
    <w:rPr>
      <w:sz w:val="20"/>
      <w:szCs w:val="20"/>
    </w:rPr>
  </w:style>
  <w:style w:type="paragraph" w:styleId="Tekstpodstawowy2">
    <w:name w:val="Body Text 2"/>
    <w:basedOn w:val="Normalny"/>
    <w:pPr>
      <w:ind w:left="0" w:firstLine="0"/>
      <w:jc w:val="both"/>
    </w:pPr>
  </w:style>
  <w:style w:type="paragraph" w:styleId="Tekstpodstawowywcity">
    <w:name w:val="Body Text Indent"/>
    <w:basedOn w:val="Normalny"/>
    <w:pPr>
      <w:ind w:left="720" w:hanging="720"/>
    </w:pPr>
  </w:style>
  <w:style w:type="paragraph" w:styleId="Tekstpodstawowy3">
    <w:name w:val="Body Text 3"/>
    <w:basedOn w:val="Normalny"/>
    <w:pPr>
      <w:tabs>
        <w:tab w:val="left" w:pos="0"/>
        <w:tab w:val="left" w:pos="360"/>
      </w:tabs>
      <w:ind w:left="0" w:firstLine="0"/>
      <w:jc w:val="both"/>
    </w:pPr>
    <w:rPr>
      <w:rFonts w:ascii="Arial Narrow" w:eastAsia="SimSun" w:hAnsi="Arial Narrow" w:cs="Arial Narrow"/>
      <w:sz w:val="20"/>
      <w:szCs w:val="20"/>
    </w:rPr>
  </w:style>
  <w:style w:type="paragraph" w:customStyle="1" w:styleId="StylIwony">
    <w:name w:val="Styl Iwony"/>
    <w:basedOn w:val="Normalny"/>
    <w:pPr>
      <w:spacing w:before="120" w:after="120"/>
      <w:ind w:left="0" w:firstLine="0"/>
      <w:jc w:val="both"/>
    </w:pPr>
    <w:rPr>
      <w:rFonts w:ascii="Bookman Old Style" w:eastAsia="SimSun" w:hAnsi="Bookman Old Style" w:cs="Bookman Old Style"/>
      <w:szCs w:val="20"/>
    </w:rPr>
  </w:style>
  <w:style w:type="paragraph" w:customStyle="1" w:styleId="tekstost">
    <w:name w:val="tekst ost"/>
    <w:basedOn w:val="Normalny"/>
    <w:pPr>
      <w:ind w:left="0" w:firstLine="0"/>
      <w:jc w:val="both"/>
    </w:pPr>
    <w:rPr>
      <w:sz w:val="20"/>
      <w:szCs w:val="20"/>
    </w:rPr>
  </w:style>
  <w:style w:type="paragraph" w:styleId="Tekstprzypisudolnego">
    <w:name w:val="footnote text"/>
    <w:basedOn w:val="Normalny"/>
    <w:pPr>
      <w:ind w:left="0" w:firstLine="0"/>
    </w:pPr>
    <w:rPr>
      <w:sz w:val="20"/>
      <w:szCs w:val="20"/>
    </w:rPr>
  </w:style>
  <w:style w:type="paragraph" w:styleId="Nagwekspisutreci">
    <w:name w:val="TOC Heading"/>
    <w:basedOn w:val="Nagwek10"/>
    <w:pPr>
      <w:suppressLineNumbers/>
      <w:ind w:left="0" w:firstLine="0"/>
    </w:pPr>
    <w:rPr>
      <w:b/>
      <w:bCs/>
      <w:sz w:val="32"/>
      <w:szCs w:val="32"/>
    </w:rPr>
  </w:style>
  <w:style w:type="paragraph" w:styleId="Spistreci2">
    <w:name w:val="toc 2"/>
    <w:basedOn w:val="Indeks"/>
    <w:pPr>
      <w:tabs>
        <w:tab w:val="right" w:leader="dot" w:pos="8532"/>
      </w:tabs>
      <w:ind w:left="283" w:firstLine="0"/>
    </w:pPr>
  </w:style>
  <w:style w:type="paragraph" w:styleId="Spistreci1">
    <w:name w:val="toc 1"/>
    <w:basedOn w:val="Indeks"/>
    <w:pPr>
      <w:tabs>
        <w:tab w:val="right" w:leader="dot" w:pos="8815"/>
      </w:tabs>
      <w:ind w:left="0" w:firstLine="0"/>
    </w:pPr>
  </w:style>
  <w:style w:type="paragraph" w:styleId="Spistreci3">
    <w:name w:val="toc 3"/>
    <w:basedOn w:val="Indeks"/>
    <w:pPr>
      <w:tabs>
        <w:tab w:val="right" w:leader="dot" w:pos="82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pPr>
      <w:suppressLineNumbers/>
      <w:tabs>
        <w:tab w:val="center" w:pos="4819"/>
        <w:tab w:val="right" w:pos="9638"/>
      </w:tab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styleId="Tekstdymka">
    <w:name w:val="Balloon Text"/>
    <w:basedOn w:val="Normalny"/>
    <w:qFormat/>
    <w:rPr>
      <w:rFonts w:ascii="Tahoma" w:eastAsia="SimSun" w:hAnsi="Tahoma" w:cs="Mangal"/>
      <w:sz w:val="16"/>
      <w:szCs w:val="14"/>
    </w:rPr>
  </w:style>
  <w:style w:type="character" w:customStyle="1" w:styleId="TekstdymkaZnak">
    <w:name w:val="Tekst dymka Znak"/>
    <w:rPr>
      <w:rFonts w:ascii="Tahoma" w:eastAsia="SimSun" w:hAnsi="Tahoma" w:cs="Mangal"/>
      <w:w w:val="100"/>
      <w:kern w:val="1"/>
      <w:position w:val="-1"/>
      <w:sz w:val="16"/>
      <w:szCs w:val="14"/>
      <w:effect w:val="none"/>
      <w:vertAlign w:val="baseline"/>
      <w:cs w:val="0"/>
      <w:em w:val="none"/>
      <w:lang w:eastAsia="hi-IN" w:bidi="hi-IN"/>
    </w:rPr>
  </w:style>
  <w:style w:type="paragraph" w:customStyle="1" w:styleId="AkapitzlistNormalAkapitzlist31TytuyAkapitzlist3">
    <w:name w:val="Akapit z listą;Normal;Akapit z listą31;Tytuły;Akapit z listą3"/>
    <w:basedOn w:val="Normalny"/>
    <w:pPr>
      <w:spacing w:after="120"/>
      <w:ind w:left="708"/>
      <w:jc w:val="both"/>
    </w:pPr>
    <w:rPr>
      <w:kern w:val="0"/>
      <w:lang w:eastAsia="ar-SA" w:bidi="ar-SA"/>
    </w:rPr>
  </w:style>
  <w:style w:type="table" w:customStyle="1" w:styleId="a">
    <w:basedOn w:val="TableNormal"/>
    <w:tblPr>
      <w:tblStyleRowBandSize w:val="1"/>
      <w:tblStyleColBandSize w:val="1"/>
      <w:tblCellMar>
        <w:left w:w="40" w:type="dxa"/>
        <w:right w:w="40" w:type="dxa"/>
      </w:tblCellMar>
    </w:tblPr>
  </w:style>
  <w:style w:type="table" w:customStyle="1" w:styleId="a0">
    <w:basedOn w:val="TableNormal"/>
    <w:tblPr>
      <w:tblStyleRowBandSize w:val="1"/>
      <w:tblStyleColBandSize w:val="1"/>
      <w:tblCellMar>
        <w:left w:w="40" w:type="dxa"/>
        <w:right w:w="4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lep.pkn.pl/pn-en-12591-2004p.html" TargetMode="External"/><Relationship Id="rId13" Type="http://schemas.openxmlformats.org/officeDocument/2006/relationships/hyperlink" Target="http://sklep.pkn.pl/pn-en-12591-2004p.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klep.pkn.pl/pn-c-96170-1965p.html" TargetMode="External"/><Relationship Id="rId17" Type="http://schemas.openxmlformats.org/officeDocument/2006/relationships/hyperlink" Target="http://sklep.pkn.pl/pn-en-13043-2004p.html" TargetMode="External"/><Relationship Id="rId2" Type="http://schemas.openxmlformats.org/officeDocument/2006/relationships/numbering" Target="numbering.xml"/><Relationship Id="rId16" Type="http://schemas.openxmlformats.org/officeDocument/2006/relationships/hyperlink" Target="http://sklep.pkn.pl/pn-en-1008-2004p.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13043-2004p.html" TargetMode="External"/><Relationship Id="rId5" Type="http://schemas.openxmlformats.org/officeDocument/2006/relationships/webSettings" Target="webSettings.xml"/><Relationship Id="rId15" Type="http://schemas.openxmlformats.org/officeDocument/2006/relationships/hyperlink" Target="http://sklep.pkn.pl/pn-en-197-1-2002p.html" TargetMode="External"/><Relationship Id="rId10" Type="http://schemas.openxmlformats.org/officeDocument/2006/relationships/hyperlink" Target="http://sklep.pkn.pl/pn-en-13043-2004p.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klep.pkn.pl/pn-en-13043-2004p.html" TargetMode="External"/><Relationship Id="rId14" Type="http://schemas.openxmlformats.org/officeDocument/2006/relationships/hyperlink" Target="http://sklep.pkn.pl/pn-en-13043-2004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F7OHUAVxDx26nGcd0eKiTGvoDw==">CgMxLjAyCWguMnU2d250ZjIOaC45eTlnbGwxdHNmOXAyCGguZ2pkZ3hzMghoLmdqZGd4czIJaC4zMGowemxsMgloLjJ1NndudGYyCWguMWZvYjl0ZT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OaC41YWxpbm9oeHd0eXIyDmguNHgxbWpvcWhzbWQ0Mg1oLnF4MDBydGhlOGlrMg5oLnVhZGs0bWRhdWV0NzIOaC5vcDk4cjJiYXBkdzUyDmgucDB0czliMjNxb2xsMgloLjMyaGlvcXoyCWguMWhtc3l5czIJaC40MW1naG1sMgloLjJncnFydWUyCGgudngxMjI3Mg5oLmhiazZ3ZWkzYnd6aTIJaC4zZndva3EwMgloLjRmMW1kbG0yCWguMnU2d250ZjIJaC4xOWM2eTE4MgloLjN0YnVncDEyCWguMjhoNHF3dTgAciExcGpJMWJKLVJiMkdtLTdkT0c5d0Q5bTFXWk0wX0VOa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8733</Words>
  <Characters>52399</Characters>
  <Application>Microsoft Office Word</Application>
  <DocSecurity>0</DocSecurity>
  <Lines>436</Lines>
  <Paragraphs>122</Paragraphs>
  <ScaleCrop>false</ScaleCrop>
  <Company/>
  <LinksUpToDate>false</LinksUpToDate>
  <CharactersWithSpaces>61010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Jedryszek</dc:creator>
  <cp:lastModifiedBy>Olczyk Kinga</cp:lastModifiedBy>
  <cp:revision>4</cp:revision>
  <dcterms:created xsi:type="dcterms:W3CDTF">2017-11-23T10:19:00Z</dcterms:created>
  <dcterms:modified xsi:type="dcterms:W3CDTF">2025-11-24T13:44:00Z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